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406" w:rsidRPr="004D2E75" w:rsidRDefault="00E76406" w:rsidP="00E76406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4D2E75">
        <w:rPr>
          <w:rFonts w:ascii="Consolas" w:hAnsi="Consolas"/>
          <w:b/>
          <w:iCs/>
          <w:sz w:val="21"/>
          <w:szCs w:val="21"/>
        </w:rPr>
        <w:t>REGISTRO DE PREÇOS</w:t>
      </w:r>
      <w:r w:rsidRPr="004D2E75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4D2E75">
        <w:rPr>
          <w:rFonts w:ascii="Consolas" w:hAnsi="Consolas"/>
          <w:b/>
          <w:bCs/>
          <w:sz w:val="21"/>
          <w:szCs w:val="21"/>
        </w:rPr>
        <w:t>º</w:t>
      </w:r>
      <w:r w:rsidRPr="004D2E75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4D2E75" w:rsidRPr="004D2E75">
        <w:rPr>
          <w:rFonts w:ascii="Consolas" w:hAnsi="Consolas"/>
          <w:b/>
          <w:iCs/>
          <w:sz w:val="21"/>
          <w:szCs w:val="21"/>
          <w:lang w:val="pt-PT"/>
        </w:rPr>
        <w:t>15</w:t>
      </w:r>
      <w:r w:rsidRPr="004D2E75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E76406" w:rsidRPr="004D2E75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4D2E75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4D2E75" w:rsidRDefault="00E76406" w:rsidP="00E76406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4D2E75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4D2E75">
        <w:rPr>
          <w:rFonts w:ascii="Consolas" w:hAnsi="Consolas"/>
          <w:b/>
          <w:bCs/>
          <w:sz w:val="21"/>
          <w:szCs w:val="21"/>
        </w:rPr>
        <w:t>º</w:t>
      </w:r>
      <w:r w:rsidRPr="004D2E75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E76406" w:rsidRPr="004D2E75" w:rsidRDefault="00E76406" w:rsidP="00E76406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4D2E75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:rsidR="00F77E8A" w:rsidRPr="004D2E75" w:rsidRDefault="00D86B7A" w:rsidP="00B1776A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Aos </w:t>
      </w:r>
      <w:r w:rsidR="00877B60" w:rsidRPr="004D2E75">
        <w:rPr>
          <w:rFonts w:ascii="Consolas" w:hAnsi="Consolas"/>
          <w:sz w:val="21"/>
          <w:szCs w:val="21"/>
        </w:rPr>
        <w:t xml:space="preserve">09 </w:t>
      </w:r>
      <w:r w:rsidRPr="004D2E75">
        <w:rPr>
          <w:rFonts w:ascii="Consolas" w:hAnsi="Consolas"/>
          <w:sz w:val="21"/>
          <w:szCs w:val="21"/>
        </w:rPr>
        <w:t>(</w:t>
      </w:r>
      <w:r w:rsidR="00877B60" w:rsidRPr="004D2E75">
        <w:rPr>
          <w:rFonts w:ascii="Consolas" w:hAnsi="Consolas"/>
          <w:sz w:val="21"/>
          <w:szCs w:val="21"/>
        </w:rPr>
        <w:t>nove</w:t>
      </w:r>
      <w:r w:rsidRPr="004D2E75">
        <w:rPr>
          <w:rFonts w:ascii="Consolas" w:hAnsi="Consolas"/>
          <w:sz w:val="21"/>
          <w:szCs w:val="21"/>
        </w:rPr>
        <w:t>) dias do mês de</w:t>
      </w:r>
      <w:r w:rsidR="00877B60" w:rsidRPr="004D2E75">
        <w:rPr>
          <w:rFonts w:ascii="Consolas" w:hAnsi="Consolas"/>
          <w:sz w:val="21"/>
          <w:szCs w:val="21"/>
        </w:rPr>
        <w:t xml:space="preserve"> maio </w:t>
      </w:r>
      <w:r w:rsidRPr="004D2E75">
        <w:rPr>
          <w:rFonts w:ascii="Consolas" w:hAnsi="Consolas"/>
          <w:sz w:val="21"/>
          <w:szCs w:val="21"/>
        </w:rPr>
        <w:t>de 202</w:t>
      </w:r>
      <w:r w:rsidR="00F25DE1" w:rsidRPr="004D2E75">
        <w:rPr>
          <w:rFonts w:ascii="Consolas" w:hAnsi="Consolas"/>
          <w:sz w:val="21"/>
          <w:szCs w:val="21"/>
        </w:rPr>
        <w:t>3</w:t>
      </w:r>
      <w:r w:rsidRPr="004D2E75">
        <w:rPr>
          <w:rFonts w:ascii="Consolas" w:hAnsi="Consolas"/>
          <w:sz w:val="21"/>
          <w:szCs w:val="21"/>
        </w:rPr>
        <w:t xml:space="preserve"> (</w:t>
      </w:r>
      <w:r w:rsidR="00877B60" w:rsidRPr="004D2E75">
        <w:rPr>
          <w:rFonts w:ascii="Consolas" w:hAnsi="Consolas"/>
          <w:sz w:val="21"/>
          <w:szCs w:val="21"/>
        </w:rPr>
        <w:t>d</w:t>
      </w:r>
      <w:r w:rsidRPr="004D2E75">
        <w:rPr>
          <w:rFonts w:ascii="Consolas" w:hAnsi="Consolas"/>
          <w:sz w:val="21"/>
          <w:szCs w:val="21"/>
        </w:rPr>
        <w:t xml:space="preserve">ois mil </w:t>
      </w:r>
      <w:r w:rsidR="00877B60" w:rsidRPr="004D2E75">
        <w:rPr>
          <w:rFonts w:ascii="Consolas" w:hAnsi="Consolas"/>
          <w:sz w:val="21"/>
          <w:szCs w:val="21"/>
        </w:rPr>
        <w:t xml:space="preserve">e vinte </w:t>
      </w:r>
      <w:r w:rsidRPr="004D2E75">
        <w:rPr>
          <w:rFonts w:ascii="Consolas" w:hAnsi="Consolas"/>
          <w:sz w:val="21"/>
          <w:szCs w:val="21"/>
        </w:rPr>
        <w:t xml:space="preserve">e </w:t>
      </w:r>
      <w:r w:rsidR="00F25DE1" w:rsidRPr="004D2E75">
        <w:rPr>
          <w:rFonts w:ascii="Consolas" w:hAnsi="Consolas"/>
          <w:sz w:val="21"/>
          <w:szCs w:val="21"/>
        </w:rPr>
        <w:t>três</w:t>
      </w:r>
      <w:r w:rsidRPr="004D2E75">
        <w:rPr>
          <w:rFonts w:ascii="Consolas" w:hAnsi="Consolas"/>
          <w:sz w:val="21"/>
          <w:szCs w:val="21"/>
        </w:rPr>
        <w:t xml:space="preserve">), </w:t>
      </w:r>
      <w:r w:rsidR="00D20071" w:rsidRPr="004D2E75">
        <w:rPr>
          <w:rFonts w:ascii="Consolas" w:hAnsi="Consolas" w:cs="Arial"/>
          <w:sz w:val="21"/>
          <w:szCs w:val="21"/>
        </w:rPr>
        <w:t xml:space="preserve">A </w:t>
      </w:r>
      <w:r w:rsidR="00D20071" w:rsidRPr="004D2E75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4D2E75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4D2E75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4D2E75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4D2E75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4D2E75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4D2E75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4D2E75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4D2E75">
        <w:rPr>
          <w:rFonts w:ascii="Consolas" w:hAnsi="Consolas"/>
          <w:sz w:val="21"/>
          <w:szCs w:val="21"/>
        </w:rPr>
        <w:t>, e a empresa</w:t>
      </w:r>
      <w:r w:rsidR="00B1776A" w:rsidRPr="004D2E75">
        <w:rPr>
          <w:rFonts w:ascii="Consolas" w:hAnsi="Consolas"/>
          <w:sz w:val="21"/>
          <w:szCs w:val="21"/>
        </w:rPr>
        <w:t xml:space="preserve"> </w:t>
      </w:r>
      <w:r w:rsidR="00522252" w:rsidRPr="004D2E75">
        <w:rPr>
          <w:rFonts w:ascii="Consolas" w:hAnsi="Consolas"/>
          <w:b/>
          <w:bCs/>
          <w:sz w:val="21"/>
          <w:szCs w:val="21"/>
        </w:rPr>
        <w:t>WCA DIGITAL MÁQUINAS LTDA</w:t>
      </w:r>
      <w:r w:rsidR="00522252" w:rsidRPr="004D2E75">
        <w:rPr>
          <w:rFonts w:ascii="Consolas" w:hAnsi="Consolas"/>
          <w:bCs/>
          <w:sz w:val="21"/>
          <w:szCs w:val="21"/>
        </w:rPr>
        <w:t>,</w:t>
      </w:r>
      <w:r w:rsidR="00522252" w:rsidRPr="004D2E75">
        <w:rPr>
          <w:rFonts w:ascii="Consolas" w:hAnsi="Consolas"/>
          <w:b/>
          <w:bCs/>
          <w:sz w:val="21"/>
          <w:szCs w:val="21"/>
        </w:rPr>
        <w:t xml:space="preserve"> </w:t>
      </w:r>
      <w:r w:rsidR="00522252" w:rsidRPr="004D2E75">
        <w:rPr>
          <w:rFonts w:ascii="Consolas" w:hAnsi="Consolas"/>
          <w:sz w:val="21"/>
          <w:szCs w:val="21"/>
        </w:rPr>
        <w:t>inscrita no CNPJ sob o nº 07.429.337/0001-68, localizada na Rua José de Faro Rolemberg, nº 16, Salgado Filho, Aracaju/SE,</w:t>
      </w:r>
      <w:r w:rsidR="002C2D30" w:rsidRPr="004D2E75">
        <w:rPr>
          <w:rFonts w:ascii="Consolas" w:hAnsi="Consolas"/>
          <w:sz w:val="21"/>
          <w:szCs w:val="21"/>
        </w:rPr>
        <w:t xml:space="preserve"> e</w:t>
      </w:r>
      <w:r w:rsidR="002C2D30" w:rsidRPr="004D2E75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>-mail </w:t>
      </w:r>
      <w:hyperlink r:id="rId8" w:history="1">
        <w:r w:rsidR="002C2D30" w:rsidRPr="004D2E75">
          <w:rPr>
            <w:rStyle w:val="Hyperlink"/>
            <w:rFonts w:ascii="Consolas" w:hAnsi="Consolas" w:cs="Segoe UI"/>
            <w:b/>
            <w:bCs/>
            <w:sz w:val="21"/>
            <w:szCs w:val="21"/>
            <w:shd w:val="clear" w:color="auto" w:fill="FFFFFF"/>
          </w:rPr>
          <w:t>wcadigitaladm@hotmail.com</w:t>
        </w:r>
      </w:hyperlink>
      <w:r w:rsidR="002C2D30" w:rsidRPr="004D2E75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 xml:space="preserve"> </w:t>
      </w:r>
      <w:r w:rsidR="002C2D30" w:rsidRPr="004D2E75">
        <w:rPr>
          <w:rFonts w:ascii="Consolas" w:hAnsi="Consolas" w:cs="Segoe UI"/>
          <w:b/>
          <w:bCs/>
          <w:color w:val="212529"/>
          <w:sz w:val="21"/>
          <w:szCs w:val="21"/>
          <w:shd w:val="clear" w:color="auto" w:fill="FFFFFF"/>
        </w:rPr>
        <w:t>Telefone:</w:t>
      </w:r>
      <w:r w:rsidR="002C2D30" w:rsidRPr="004D2E75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 xml:space="preserve"> (79) 3214-7174 e </w:t>
      </w:r>
      <w:r w:rsidR="002C2D30" w:rsidRPr="004D2E75">
        <w:rPr>
          <w:rFonts w:ascii="Consolas" w:hAnsi="Consolas" w:cs="Segoe UI"/>
          <w:b/>
          <w:bCs/>
          <w:color w:val="212529"/>
          <w:sz w:val="21"/>
          <w:szCs w:val="21"/>
          <w:shd w:val="clear" w:color="auto" w:fill="FFFFFF"/>
        </w:rPr>
        <w:t>Celular:</w:t>
      </w:r>
      <w:r w:rsidR="002C2D30" w:rsidRPr="004D2E75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> (79)98876.8209</w:t>
      </w:r>
      <w:r w:rsidR="00522252" w:rsidRPr="004D2E75">
        <w:rPr>
          <w:rFonts w:ascii="Consolas" w:hAnsi="Consolas"/>
          <w:sz w:val="21"/>
          <w:szCs w:val="21"/>
        </w:rPr>
        <w:t xml:space="preserve"> neste ato representada pela senhora </w:t>
      </w:r>
      <w:r w:rsidR="00522252" w:rsidRPr="004D2E75">
        <w:rPr>
          <w:rFonts w:ascii="Consolas" w:hAnsi="Consolas"/>
          <w:b/>
          <w:bCs/>
          <w:sz w:val="21"/>
          <w:szCs w:val="21"/>
        </w:rPr>
        <w:t>MARIA DAS GRAÇAS SILVA PAVÃO</w:t>
      </w:r>
      <w:r w:rsidR="00522252" w:rsidRPr="004D2E75">
        <w:rPr>
          <w:rFonts w:ascii="Consolas" w:hAnsi="Consolas"/>
          <w:sz w:val="21"/>
          <w:szCs w:val="21"/>
        </w:rPr>
        <w:t>,</w:t>
      </w:r>
      <w:r w:rsidRPr="004D2E75">
        <w:rPr>
          <w:rFonts w:ascii="Consolas" w:hAnsi="Consolas"/>
          <w:sz w:val="21"/>
          <w:szCs w:val="21"/>
        </w:rPr>
        <w:t xml:space="preserve"> denominada simplesmente </w:t>
      </w:r>
      <w:r w:rsidR="00F77E8A" w:rsidRPr="004D2E75">
        <w:rPr>
          <w:rFonts w:ascii="Consolas" w:hAnsi="Consolas"/>
          <w:b/>
          <w:sz w:val="21"/>
          <w:szCs w:val="21"/>
        </w:rPr>
        <w:t>FORNECEDOR REGISTRATO</w:t>
      </w:r>
      <w:r w:rsidR="00F77E8A" w:rsidRPr="004D2E75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4D2E75">
        <w:rPr>
          <w:rFonts w:ascii="Consolas" w:hAnsi="Consolas"/>
          <w:sz w:val="21"/>
          <w:szCs w:val="21"/>
        </w:rPr>
        <w:t>87</w:t>
      </w:r>
      <w:r w:rsidR="001C3815" w:rsidRPr="004D2E75">
        <w:rPr>
          <w:rFonts w:ascii="Consolas" w:hAnsi="Consolas"/>
          <w:sz w:val="21"/>
          <w:szCs w:val="21"/>
        </w:rPr>
        <w:t>/2021</w:t>
      </w:r>
      <w:r w:rsidR="00F77E8A" w:rsidRPr="004D2E75">
        <w:rPr>
          <w:rFonts w:ascii="Consolas" w:hAnsi="Consolas"/>
          <w:sz w:val="21"/>
          <w:szCs w:val="21"/>
        </w:rPr>
        <w:t xml:space="preserve"> e nº </w:t>
      </w:r>
      <w:r w:rsidR="00BF6CB8" w:rsidRPr="004D2E75">
        <w:rPr>
          <w:rFonts w:ascii="Consolas" w:hAnsi="Consolas"/>
          <w:sz w:val="21"/>
          <w:szCs w:val="21"/>
        </w:rPr>
        <w:t>44/202</w:t>
      </w:r>
      <w:r w:rsidR="005E38E6" w:rsidRPr="004D2E75">
        <w:rPr>
          <w:rFonts w:ascii="Consolas" w:hAnsi="Consolas"/>
          <w:sz w:val="21"/>
          <w:szCs w:val="21"/>
        </w:rPr>
        <w:t>0</w:t>
      </w:r>
      <w:r w:rsidR="00F77E8A" w:rsidRPr="004D2E75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4D2E75">
        <w:rPr>
          <w:rFonts w:ascii="Consolas" w:hAnsi="Consolas"/>
          <w:sz w:val="21"/>
          <w:szCs w:val="21"/>
        </w:rPr>
        <w:t>: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4D2E75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4D2E75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4D2E75">
        <w:rPr>
          <w:rFonts w:ascii="Consolas" w:hAnsi="Consolas"/>
          <w:sz w:val="21"/>
          <w:szCs w:val="21"/>
        </w:rPr>
        <w:t xml:space="preserve">o </w:t>
      </w:r>
      <w:r w:rsidR="00BB3AAE" w:rsidRPr="004D2E75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4D2E75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4D2E75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4D2E75">
        <w:rPr>
          <w:rFonts w:ascii="Consolas" w:hAnsi="Consolas"/>
          <w:sz w:val="21"/>
          <w:szCs w:val="21"/>
        </w:rPr>
        <w:t xml:space="preserve"> do Edital de Pregão </w:t>
      </w:r>
      <w:r w:rsidR="00644E8A" w:rsidRPr="004D2E75">
        <w:rPr>
          <w:rFonts w:ascii="Consolas" w:hAnsi="Consolas"/>
          <w:sz w:val="21"/>
          <w:szCs w:val="21"/>
        </w:rPr>
        <w:t>Eletrônico</w:t>
      </w:r>
      <w:r w:rsidR="00192F4A" w:rsidRPr="004D2E75">
        <w:rPr>
          <w:rFonts w:ascii="Consolas" w:hAnsi="Consolas"/>
          <w:sz w:val="21"/>
          <w:szCs w:val="21"/>
        </w:rPr>
        <w:t xml:space="preserve"> </w:t>
      </w:r>
      <w:r w:rsidR="00F25DE1" w:rsidRPr="004D2E75">
        <w:rPr>
          <w:rFonts w:ascii="Consolas" w:hAnsi="Consolas"/>
          <w:sz w:val="21"/>
          <w:szCs w:val="21"/>
        </w:rPr>
        <w:t xml:space="preserve">SRP </w:t>
      </w:r>
      <w:r w:rsidRPr="004D2E75">
        <w:rPr>
          <w:rFonts w:ascii="Consolas" w:hAnsi="Consolas"/>
          <w:sz w:val="21"/>
          <w:szCs w:val="21"/>
        </w:rPr>
        <w:t xml:space="preserve">nº </w:t>
      </w:r>
      <w:r w:rsidR="00192F4A" w:rsidRPr="004D2E75">
        <w:rPr>
          <w:rFonts w:ascii="Consolas" w:hAnsi="Consolas"/>
          <w:sz w:val="21"/>
          <w:szCs w:val="21"/>
        </w:rPr>
        <w:t>05</w:t>
      </w:r>
      <w:r w:rsidR="007B020B" w:rsidRPr="004D2E75">
        <w:rPr>
          <w:rFonts w:ascii="Consolas" w:hAnsi="Consolas"/>
          <w:sz w:val="21"/>
          <w:szCs w:val="21"/>
        </w:rPr>
        <w:t>/202</w:t>
      </w:r>
      <w:r w:rsidR="00F25DE1" w:rsidRPr="004D2E75">
        <w:rPr>
          <w:rFonts w:ascii="Consolas" w:hAnsi="Consolas"/>
          <w:sz w:val="21"/>
          <w:szCs w:val="21"/>
        </w:rPr>
        <w:t>3</w:t>
      </w:r>
      <w:r w:rsidRPr="004D2E75">
        <w:rPr>
          <w:rFonts w:ascii="Consolas" w:hAnsi="Consolas"/>
          <w:sz w:val="21"/>
          <w:szCs w:val="21"/>
        </w:rPr>
        <w:t xml:space="preserve"> e seus anexos, e </w:t>
      </w:r>
      <w:r w:rsidRPr="004D2E75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4D2E75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4D2E75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2.1. </w:t>
      </w:r>
      <w:r w:rsidRPr="004D2E75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4D2E75">
        <w:rPr>
          <w:rFonts w:ascii="Consolas" w:hAnsi="Consolas"/>
          <w:sz w:val="21"/>
          <w:szCs w:val="21"/>
        </w:rPr>
        <w:t>° 8.666/93.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3.1. </w:t>
      </w:r>
      <w:r w:rsidRPr="004D2E75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lastRenderedPageBreak/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4D2E75">
        <w:rPr>
          <w:rFonts w:ascii="Consolas" w:hAnsi="Consolas" w:cs="Verdana"/>
          <w:sz w:val="21"/>
          <w:szCs w:val="21"/>
        </w:rPr>
        <w:t>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4D2E75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4D2E75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4D2E75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4.2. Os preços registrados poderão ser revistos em decorrência de eventual redução dos preços praticados no mercado ou cancelados por fato que eleve o custo dos itens registrados, cabendo ao órgão gerenciador promover as negociações junto ao fornecedor registrado, observadas as disposições contidas na alínea “d” do inciso II do ca</w:t>
      </w:r>
      <w:r w:rsidRPr="004D2E75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4.3. </w:t>
      </w:r>
      <w:r w:rsidRPr="004D2E75">
        <w:rPr>
          <w:rFonts w:ascii="Consolas" w:hAnsi="Consolas" w:cs="Arial"/>
          <w:sz w:val="21"/>
          <w:szCs w:val="21"/>
        </w:rPr>
        <w:t xml:space="preserve">Quando o preço registrado </w:t>
      </w:r>
      <w:proofErr w:type="gramStart"/>
      <w:r w:rsidRPr="004D2E75">
        <w:rPr>
          <w:rFonts w:ascii="Consolas" w:hAnsi="Consolas" w:cs="Arial"/>
          <w:sz w:val="21"/>
          <w:szCs w:val="21"/>
        </w:rPr>
        <w:t>tornar-se</w:t>
      </w:r>
      <w:proofErr w:type="gramEnd"/>
      <w:r w:rsidRPr="004D2E75">
        <w:rPr>
          <w:rFonts w:ascii="Consolas" w:hAnsi="Consolas" w:cs="Arial"/>
          <w:sz w:val="21"/>
          <w:szCs w:val="21"/>
        </w:rPr>
        <w:t xml:space="preserve"> superior ao preço praticado no mercado por motivo superveniente, o órgão gerenciador convocará o fornecedor registrado para renegociarem a redução dos preços aos valores praticados pelo mercado;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lastRenderedPageBreak/>
        <w:t xml:space="preserve">4.4. </w:t>
      </w:r>
      <w:r w:rsidRPr="004D2E75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4.5. </w:t>
      </w:r>
      <w:r w:rsidRPr="004D2E75">
        <w:rPr>
          <w:rFonts w:ascii="Consolas" w:hAnsi="Consolas" w:cs="Arial"/>
          <w:sz w:val="21"/>
          <w:szCs w:val="21"/>
        </w:rPr>
        <w:t xml:space="preserve">Quando o preço de mercado </w:t>
      </w:r>
      <w:proofErr w:type="gramStart"/>
      <w:r w:rsidRPr="004D2E75">
        <w:rPr>
          <w:rFonts w:ascii="Consolas" w:hAnsi="Consolas" w:cs="Arial"/>
          <w:sz w:val="21"/>
          <w:szCs w:val="21"/>
        </w:rPr>
        <w:t>tornar-se</w:t>
      </w:r>
      <w:proofErr w:type="gramEnd"/>
      <w:r w:rsidRPr="004D2E75">
        <w:rPr>
          <w:rFonts w:ascii="Consolas" w:hAnsi="Consolas" w:cs="Arial"/>
          <w:sz w:val="21"/>
          <w:szCs w:val="21"/>
        </w:rPr>
        <w:t xml:space="preserve"> superior aos preços registrados e o fornecedor registrado não puder cumprir o compromisso, o órgão gerenciador poderá: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4.6. </w:t>
      </w:r>
      <w:r w:rsidRPr="004D2E75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4.7. Caso haja, </w:t>
      </w:r>
      <w:r w:rsidRPr="004D2E75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4.8. </w:t>
      </w:r>
      <w:r w:rsidRPr="004D2E75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4.9. </w:t>
      </w:r>
      <w:r w:rsidRPr="004D2E75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4D2E75">
        <w:rPr>
          <w:rFonts w:ascii="Consolas" w:hAnsi="Consolas"/>
          <w:sz w:val="21"/>
          <w:szCs w:val="21"/>
        </w:rPr>
        <w:t xml:space="preserve">“d” do inciso II do </w:t>
      </w:r>
      <w:r w:rsidRPr="004D2E75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§1° - </w:t>
      </w:r>
      <w:r w:rsidRPr="004D2E75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4D2E75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4D2E75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4D2E75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4D2E75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4D2E75">
        <w:rPr>
          <w:rFonts w:ascii="Consolas" w:hAnsi="Consolas"/>
          <w:sz w:val="21"/>
          <w:szCs w:val="21"/>
        </w:rPr>
        <w:t xml:space="preserve">prazo de </w:t>
      </w:r>
      <w:r w:rsidR="007E7A3E" w:rsidRPr="004D2E75">
        <w:rPr>
          <w:rFonts w:ascii="Consolas" w:hAnsi="Consolas"/>
          <w:sz w:val="21"/>
          <w:szCs w:val="21"/>
        </w:rPr>
        <w:t>05</w:t>
      </w:r>
      <w:r w:rsidR="008041F6" w:rsidRPr="004D2E75">
        <w:rPr>
          <w:rFonts w:ascii="Consolas" w:hAnsi="Consolas"/>
          <w:sz w:val="21"/>
          <w:szCs w:val="21"/>
        </w:rPr>
        <w:t xml:space="preserve"> (</w:t>
      </w:r>
      <w:r w:rsidR="007E7A3E" w:rsidRPr="004D2E75">
        <w:rPr>
          <w:rFonts w:ascii="Consolas" w:hAnsi="Consolas"/>
          <w:sz w:val="21"/>
          <w:szCs w:val="21"/>
        </w:rPr>
        <w:t>cinco</w:t>
      </w:r>
      <w:r w:rsidR="008041F6" w:rsidRPr="004D2E75">
        <w:rPr>
          <w:rFonts w:ascii="Consolas" w:hAnsi="Consolas"/>
          <w:sz w:val="21"/>
          <w:szCs w:val="21"/>
        </w:rPr>
        <w:t>)</w:t>
      </w:r>
      <w:r w:rsidR="007E7A3E" w:rsidRPr="004D2E75">
        <w:rPr>
          <w:rFonts w:ascii="Consolas" w:hAnsi="Consolas"/>
          <w:sz w:val="21"/>
          <w:szCs w:val="21"/>
        </w:rPr>
        <w:t xml:space="preserve"> dias corridos </w:t>
      </w:r>
      <w:r w:rsidRPr="004D2E75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4D2E75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4D2E75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t>6.5. Caberá ao setor solicitante, o recebimento e a atestação da(s) Nota(s) Fiscal(</w:t>
      </w:r>
      <w:proofErr w:type="spellStart"/>
      <w:r w:rsidRPr="004D2E75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4D2E75">
        <w:rPr>
          <w:rFonts w:ascii="Consolas" w:hAnsi="Consolas" w:cs="Courier New"/>
          <w:bCs/>
          <w:color w:val="000000"/>
          <w:sz w:val="21"/>
          <w:szCs w:val="21"/>
        </w:rPr>
        <w:t>) Fatura(s) correspondentes aos fornecimentos executados, em pleno acordo com as especificações contidas no presente termo, aliado às disposições constantes da proposta do fornecedor registrado;</w:t>
      </w:r>
    </w:p>
    <w:p w:rsidR="00F77E8A" w:rsidRPr="004D2E75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4D2E75">
        <w:rPr>
          <w:rFonts w:ascii="Consolas" w:hAnsi="Consolas" w:cs="Courier New"/>
          <w:bCs/>
          <w:color w:val="000000"/>
          <w:sz w:val="21"/>
          <w:szCs w:val="21"/>
        </w:rPr>
        <w:lastRenderedPageBreak/>
        <w:t xml:space="preserve">6.6. </w:t>
      </w:r>
      <w:r w:rsidRPr="004D2E75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4D2E75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4D2E75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4D2E75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7.1. </w:t>
      </w:r>
      <w:r w:rsidR="003F1255" w:rsidRPr="004D2E75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4D2E75">
        <w:rPr>
          <w:rFonts w:ascii="Consolas" w:eastAsia="Verdana" w:hAnsi="Consolas" w:cs="Verdana"/>
          <w:sz w:val="21"/>
          <w:szCs w:val="21"/>
        </w:rPr>
        <w:t>87</w:t>
      </w:r>
      <w:r w:rsidR="001C3815" w:rsidRPr="004D2E75">
        <w:rPr>
          <w:rFonts w:ascii="Consolas" w:eastAsia="Verdana" w:hAnsi="Consolas" w:cs="Verdana"/>
          <w:sz w:val="21"/>
          <w:szCs w:val="21"/>
        </w:rPr>
        <w:t>/2021</w:t>
      </w:r>
      <w:r w:rsidR="003F1255" w:rsidRPr="004D2E75">
        <w:rPr>
          <w:rFonts w:ascii="Consolas" w:eastAsia="Verdana" w:hAnsi="Consolas" w:cs="Verdana"/>
          <w:sz w:val="21"/>
          <w:szCs w:val="21"/>
        </w:rPr>
        <w:t>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4D2E75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4D2E75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4D2E75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4D2E75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4D2E75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4D2E75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4D2E75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4D2E75" w:rsidRPr="004D2E75">
        <w:rPr>
          <w:rFonts w:ascii="Consolas" w:hAnsi="Consolas" w:cs="Verdana"/>
          <w:sz w:val="21"/>
          <w:szCs w:val="21"/>
        </w:rPr>
        <w:t>seu cancelamento</w:t>
      </w:r>
      <w:r w:rsidRPr="004D2E75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4D2E75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4D2E75">
        <w:rPr>
          <w:rFonts w:ascii="Consolas" w:hAnsi="Consolas"/>
          <w:color w:val="000000"/>
          <w:sz w:val="21"/>
          <w:szCs w:val="21"/>
        </w:rPr>
        <w:t>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4D2E75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4D2E75">
        <w:rPr>
          <w:rFonts w:ascii="Consolas" w:hAnsi="Consolas"/>
          <w:color w:val="000000"/>
          <w:sz w:val="21"/>
          <w:szCs w:val="21"/>
        </w:rPr>
        <w:t>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4D2E75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Responsabilizar-se pelos danos causados diretamente à Secretaria ou a terceiros decorrentes de sua culpa ou dolo na execução do objeto registrado, não excluindo ou reduzindo essa responsabilidade a fiscalização ou o acompanhamento pelo órgão gerenciador;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Responsabilizar-se pela obtenção de Alvarás, Licenças ou quaisquer outros Termos de Autorização que se façam necessários à execução do objeto registrado;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lastRenderedPageBreak/>
        <w:t>Não transferir a outrem, no todo ou em parte, o termo firmado com o órgão gerenciador, sem prévia e expressa anuência;</w:t>
      </w:r>
    </w:p>
    <w:p w:rsidR="00F77E8A" w:rsidRPr="004D2E75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4D2E75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4D2E75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4D2E7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4D2E75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4D2E7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4D2E75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4D2E75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4D2E75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4D2E75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bCs/>
          <w:sz w:val="21"/>
          <w:szCs w:val="21"/>
        </w:rPr>
        <w:t>9.1.</w:t>
      </w:r>
      <w:r w:rsidRPr="004D2E75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4D2E7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Advertência;</w:t>
      </w:r>
    </w:p>
    <w:p w:rsidR="00F77E8A" w:rsidRPr="004D2E7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Multa;</w:t>
      </w:r>
    </w:p>
    <w:p w:rsidR="00F77E8A" w:rsidRPr="004D2E7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4D2E75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4D2E75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bCs/>
          <w:sz w:val="21"/>
          <w:szCs w:val="21"/>
        </w:rPr>
        <w:t>9.2.</w:t>
      </w:r>
      <w:r w:rsidRPr="004D2E75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bCs/>
          <w:sz w:val="21"/>
          <w:szCs w:val="21"/>
        </w:rPr>
        <w:t>9.3.</w:t>
      </w:r>
      <w:r w:rsidRPr="004D2E75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4D2E75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bCs/>
          <w:sz w:val="21"/>
          <w:szCs w:val="21"/>
        </w:rPr>
        <w:t>9.4.</w:t>
      </w:r>
      <w:r w:rsidRPr="004D2E75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4D2E75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lastRenderedPageBreak/>
        <w:t>10.1. O registro do fornecedor será cancelado quando:</w:t>
      </w:r>
    </w:p>
    <w:p w:rsidR="00F77E8A" w:rsidRPr="004D2E7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4D2E7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4D2E7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4D2E75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4D2E75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4D2E75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II. Verificar a conformidade da execução do Fornecimento com as normas especificadas e se os procedimentos empregados são adequados, para garantir a qualidade desejada dos materiais;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 xml:space="preserve">III. Solicitar, sempre que julgar necessário, a comprovação do valor vigente dos preços; </w:t>
      </w:r>
    </w:p>
    <w:p w:rsidR="004D2E75" w:rsidRPr="004D2E75" w:rsidRDefault="004D2E75" w:rsidP="004D2E75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lastRenderedPageBreak/>
        <w:t xml:space="preserve">IV. Anotar, em registro próprio, todas as ocorrências relacionadas com a execução do Contrato, determinando o que for necessário à regularização das falhas ou defeitos observados. </w:t>
      </w:r>
    </w:p>
    <w:p w:rsidR="004D2E75" w:rsidRPr="004D2E75" w:rsidRDefault="004D2E75" w:rsidP="004D2E75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4D2E75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4D2E75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4D2E75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4D2E75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12.1. As partes elegem o Foro d</w:t>
      </w:r>
      <w:r w:rsidR="00843695" w:rsidRPr="004D2E75">
        <w:rPr>
          <w:rFonts w:ascii="Consolas" w:hAnsi="Consolas"/>
          <w:sz w:val="21"/>
          <w:szCs w:val="21"/>
        </w:rPr>
        <w:t>a Comarca</w:t>
      </w:r>
      <w:r w:rsidRPr="004D2E75">
        <w:rPr>
          <w:rFonts w:ascii="Consolas" w:hAnsi="Consolas"/>
          <w:sz w:val="21"/>
          <w:szCs w:val="21"/>
        </w:rPr>
        <w:t xml:space="preserve"> de </w:t>
      </w:r>
      <w:r w:rsidR="005E38E6" w:rsidRPr="004D2E75">
        <w:rPr>
          <w:rFonts w:ascii="Consolas" w:hAnsi="Consolas"/>
          <w:sz w:val="21"/>
          <w:szCs w:val="21"/>
        </w:rPr>
        <w:t>Santa Rosa de Lima</w:t>
      </w:r>
      <w:r w:rsidRPr="004D2E75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4D2E75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4D2E75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F77E8A" w:rsidRPr="004D2E75" w:rsidRDefault="00F77E8A" w:rsidP="009776CA">
      <w:pPr>
        <w:spacing w:line="360" w:lineRule="auto"/>
        <w:rPr>
          <w:rFonts w:ascii="Consolas" w:hAnsi="Consolas"/>
          <w:sz w:val="21"/>
          <w:szCs w:val="21"/>
        </w:rPr>
      </w:pPr>
    </w:p>
    <w:p w:rsidR="00AF0CFA" w:rsidRPr="004D2E75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4D2E75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Santa Rosa de Lima</w:t>
      </w:r>
      <w:r w:rsidR="00AF0CFA" w:rsidRPr="004D2E75">
        <w:rPr>
          <w:rFonts w:ascii="Consolas" w:hAnsi="Consolas" w:cs="Arial"/>
          <w:sz w:val="21"/>
          <w:szCs w:val="21"/>
        </w:rPr>
        <w:t xml:space="preserve">/SE, </w:t>
      </w:r>
      <w:r w:rsidR="00192F4A" w:rsidRPr="004D2E75">
        <w:rPr>
          <w:rFonts w:ascii="Consolas" w:hAnsi="Consolas" w:cs="Arial"/>
          <w:sz w:val="21"/>
          <w:szCs w:val="21"/>
        </w:rPr>
        <w:t>09 de maio de 2023</w:t>
      </w:r>
      <w:r w:rsidR="00AF0CFA" w:rsidRPr="004D2E75">
        <w:rPr>
          <w:rFonts w:ascii="Consolas" w:hAnsi="Consolas" w:cs="Arial"/>
          <w:sz w:val="21"/>
          <w:szCs w:val="21"/>
        </w:rPr>
        <w:t>.</w:t>
      </w:r>
    </w:p>
    <w:p w:rsidR="00AF0CFA" w:rsidRPr="004D2E75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4D2E75" w:rsidRPr="004D2E75" w:rsidRDefault="004D2E75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4D2E75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4D2E75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4D2E75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4D2E75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Órgão Gerenciador</w:t>
      </w:r>
    </w:p>
    <w:p w:rsidR="004A7B4D" w:rsidRPr="004D2E75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4D2E75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4D2E75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4D2E75">
        <w:rPr>
          <w:rFonts w:ascii="Consolas" w:hAnsi="Consolas" w:cs="Arial"/>
          <w:sz w:val="21"/>
          <w:szCs w:val="21"/>
        </w:rPr>
        <w:t>Gestor</w:t>
      </w:r>
      <w:r w:rsidR="00BE293C" w:rsidRPr="004D2E75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Pr="004D2E75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Pr="004D2E75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4D2E75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4D2E75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4D2E75" w:rsidRDefault="007367DB" w:rsidP="007367DB">
      <w:pPr>
        <w:pStyle w:val="Recuodecorpodetexto2"/>
        <w:tabs>
          <w:tab w:val="left" w:pos="2268"/>
          <w:tab w:val="left" w:pos="5812"/>
        </w:tabs>
        <w:spacing w:after="0" w:line="240" w:lineRule="auto"/>
        <w:ind w:left="0" w:right="141"/>
        <w:rPr>
          <w:rFonts w:ascii="Consolas" w:hAnsi="Consolas"/>
          <w:b/>
          <w:bCs/>
          <w:iCs/>
          <w:sz w:val="21"/>
          <w:szCs w:val="21"/>
        </w:rPr>
      </w:pPr>
      <w:r w:rsidRPr="004D2E75">
        <w:rPr>
          <w:rFonts w:ascii="Consolas" w:hAnsi="Consolas"/>
          <w:b/>
          <w:bCs/>
          <w:iCs/>
          <w:sz w:val="21"/>
          <w:szCs w:val="21"/>
        </w:rPr>
        <w:t>WCA DIGITAL MÁQUINAS LTDA</w:t>
      </w:r>
    </w:p>
    <w:p w:rsidR="007367DB" w:rsidRPr="004D2E75" w:rsidRDefault="007367DB" w:rsidP="007367DB">
      <w:pPr>
        <w:pStyle w:val="Recuodecorpodetexto2"/>
        <w:tabs>
          <w:tab w:val="left" w:pos="2268"/>
          <w:tab w:val="left" w:pos="5812"/>
        </w:tabs>
        <w:spacing w:after="0" w:line="240" w:lineRule="auto"/>
        <w:ind w:left="0" w:right="141"/>
        <w:rPr>
          <w:rFonts w:ascii="Consolas" w:hAnsi="Consolas"/>
          <w:iCs/>
          <w:sz w:val="21"/>
          <w:szCs w:val="21"/>
        </w:rPr>
      </w:pPr>
      <w:r w:rsidRPr="004D2E75">
        <w:rPr>
          <w:rFonts w:ascii="Consolas" w:hAnsi="Consolas"/>
          <w:iCs/>
          <w:sz w:val="21"/>
          <w:szCs w:val="21"/>
        </w:rPr>
        <w:t>Maria das Graças Silva Pavão</w:t>
      </w:r>
    </w:p>
    <w:p w:rsidR="004A7B4D" w:rsidRPr="004D2E75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4D2E75">
        <w:rPr>
          <w:rFonts w:ascii="Consolas" w:hAnsi="Consolas" w:cs="Cambria"/>
          <w:sz w:val="21"/>
          <w:szCs w:val="21"/>
        </w:rPr>
        <w:t>Representante Legal</w:t>
      </w:r>
    </w:p>
    <w:p w:rsidR="00AF0CFA" w:rsidRPr="004D2E75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4D2E75">
        <w:rPr>
          <w:rFonts w:ascii="Consolas" w:hAnsi="Consolas"/>
          <w:sz w:val="21"/>
          <w:szCs w:val="21"/>
        </w:rPr>
        <w:t>FORNECEDOR</w:t>
      </w:r>
      <w:r w:rsidR="004A7B4D" w:rsidRPr="004D2E75">
        <w:rPr>
          <w:rFonts w:ascii="Consolas" w:hAnsi="Consolas"/>
          <w:sz w:val="21"/>
          <w:szCs w:val="21"/>
        </w:rPr>
        <w:t xml:space="preserve"> REGISTRADDO</w:t>
      </w:r>
    </w:p>
    <w:p w:rsidR="00105D3A" w:rsidRPr="004D2E75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105D3A" w:rsidRPr="004D2E75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105D3A" w:rsidRPr="004D2E75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105D3A" w:rsidRPr="004D2E75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256" w:rsidRDefault="00E43256">
      <w:r>
        <w:separator/>
      </w:r>
    </w:p>
  </w:endnote>
  <w:endnote w:type="continuationSeparator" w:id="0">
    <w:p w:rsidR="00E43256" w:rsidRDefault="00E4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256" w:rsidRDefault="00E43256">
      <w:r>
        <w:separator/>
      </w:r>
    </w:p>
  </w:footnote>
  <w:footnote w:type="continuationSeparator" w:id="0">
    <w:p w:rsidR="00E43256" w:rsidRDefault="00E4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1597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11C62"/>
    <w:rsid w:val="0021328E"/>
    <w:rsid w:val="00215AD8"/>
    <w:rsid w:val="00217E37"/>
    <w:rsid w:val="00220846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2D30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D2E75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22252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7DB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5448"/>
    <w:rsid w:val="008B5F24"/>
    <w:rsid w:val="008B6EE8"/>
    <w:rsid w:val="008C146E"/>
    <w:rsid w:val="008C1F90"/>
    <w:rsid w:val="008C319F"/>
    <w:rsid w:val="008D04B9"/>
    <w:rsid w:val="008D7AF8"/>
    <w:rsid w:val="008E23AB"/>
    <w:rsid w:val="008E34F9"/>
    <w:rsid w:val="008E5460"/>
    <w:rsid w:val="008E646E"/>
    <w:rsid w:val="008E706B"/>
    <w:rsid w:val="008F3A68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4F3B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3256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406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EDA34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C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digitaladm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7</Pages>
  <Words>2313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318</cp:revision>
  <cp:lastPrinted>2023-03-21T19:50:00Z</cp:lastPrinted>
  <dcterms:created xsi:type="dcterms:W3CDTF">2020-09-15T21:39:00Z</dcterms:created>
  <dcterms:modified xsi:type="dcterms:W3CDTF">2023-05-09T23:04:00Z</dcterms:modified>
</cp:coreProperties>
</file>