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 w:after="1"/>
        <w:rPr>
          <w:rFonts w:ascii="Times New Roman"/>
          <w:sz w:val="10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0"/>
        <w:gridCol w:w="2200"/>
      </w:tblGrid>
      <w:tr>
        <w:trPr>
          <w:trHeight w:val="380" w:hRule="atLeast"/>
        </w:trPr>
        <w:tc>
          <w:tcPr>
            <w:tcW w:w="8900" w:type="dxa"/>
            <w:shd w:val="clear" w:color="auto" w:fill="F0F0F0"/>
          </w:tcPr>
          <w:p>
            <w:pPr>
              <w:pStyle w:val="TableParagraph"/>
              <w:spacing w:before="98"/>
              <w:ind w:left="2803" w:right="278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RECEITA ORÇAMENTÁRIA ARRECADADA</w:t>
            </w:r>
          </w:p>
        </w:tc>
        <w:tc>
          <w:tcPr>
            <w:tcW w:w="2200" w:type="dxa"/>
            <w:shd w:val="clear" w:color="auto" w:fill="F0F0F0"/>
          </w:tcPr>
          <w:p>
            <w:pPr>
              <w:pStyle w:val="TableParagraph"/>
              <w:spacing w:before="98"/>
              <w:ind w:left="70" w:righ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VALOR</w:t>
            </w:r>
          </w:p>
        </w:tc>
      </w:tr>
      <w:tr>
        <w:trPr>
          <w:trHeight w:val="320" w:hRule="atLeast"/>
        </w:trPr>
        <w:tc>
          <w:tcPr>
            <w:tcW w:w="890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IPTU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890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ITBI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24.016,52</w:t>
            </w:r>
          </w:p>
        </w:tc>
      </w:tr>
      <w:tr>
        <w:trPr>
          <w:trHeight w:val="320" w:hRule="atLeast"/>
        </w:trPr>
        <w:tc>
          <w:tcPr>
            <w:tcW w:w="890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ISS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44.548,93</w:t>
            </w:r>
          </w:p>
        </w:tc>
      </w:tr>
      <w:tr>
        <w:trPr>
          <w:trHeight w:val="320" w:hRule="atLeast"/>
        </w:trPr>
        <w:tc>
          <w:tcPr>
            <w:tcW w:w="890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IRRF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356.755,13</w:t>
            </w:r>
          </w:p>
        </w:tc>
      </w:tr>
      <w:tr>
        <w:trPr>
          <w:trHeight w:val="320" w:hRule="atLeast"/>
        </w:trPr>
        <w:tc>
          <w:tcPr>
            <w:tcW w:w="890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Cota -Parte do FPM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7.507.197,82</w:t>
            </w:r>
          </w:p>
        </w:tc>
      </w:tr>
      <w:tr>
        <w:trPr>
          <w:trHeight w:val="320" w:hRule="atLeast"/>
        </w:trPr>
        <w:tc>
          <w:tcPr>
            <w:tcW w:w="890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Cota-Parte do IPI-Exportação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1.133,87</w:t>
            </w:r>
          </w:p>
        </w:tc>
      </w:tr>
      <w:tr>
        <w:trPr>
          <w:trHeight w:val="320" w:hRule="atLeast"/>
        </w:trPr>
        <w:tc>
          <w:tcPr>
            <w:tcW w:w="8900" w:type="dxa"/>
          </w:tcPr>
          <w:p>
            <w:pPr>
              <w:pStyle w:val="TableParagraph"/>
              <w:spacing w:line="160" w:lineRule="exact" w:before="0"/>
              <w:ind w:left="98"/>
              <w:rPr>
                <w:sz w:val="14"/>
              </w:rPr>
            </w:pPr>
            <w:r>
              <w:rPr>
                <w:sz w:val="14"/>
              </w:rPr>
              <w:t>Cota-Parte do ITR</w:t>
            </w:r>
          </w:p>
        </w:tc>
        <w:tc>
          <w:tcPr>
            <w:tcW w:w="2200" w:type="dxa"/>
          </w:tcPr>
          <w:p>
            <w:pPr>
              <w:pStyle w:val="TableParagraph"/>
              <w:ind w:right="39"/>
              <w:jc w:val="right"/>
              <w:rPr>
                <w:sz w:val="14"/>
              </w:rPr>
            </w:pPr>
            <w:r>
              <w:rPr>
                <w:sz w:val="14"/>
              </w:rPr>
              <w:t>176,76</w:t>
            </w:r>
          </w:p>
        </w:tc>
      </w:tr>
      <w:tr>
        <w:trPr>
          <w:trHeight w:val="320" w:hRule="atLeast"/>
        </w:trPr>
        <w:tc>
          <w:tcPr>
            <w:tcW w:w="8900" w:type="dxa"/>
          </w:tcPr>
          <w:p>
            <w:pPr>
              <w:pStyle w:val="TableParagraph"/>
              <w:spacing w:line="160" w:lineRule="exact" w:before="0"/>
              <w:ind w:left="98"/>
              <w:rPr>
                <w:sz w:val="14"/>
              </w:rPr>
            </w:pPr>
            <w:r>
              <w:rPr>
                <w:sz w:val="14"/>
              </w:rPr>
              <w:t>Cota-Parte do ICMS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2.203.614,40</w:t>
            </w:r>
          </w:p>
        </w:tc>
      </w:tr>
      <w:tr>
        <w:trPr>
          <w:trHeight w:val="320" w:hRule="atLeast"/>
        </w:trPr>
        <w:tc>
          <w:tcPr>
            <w:tcW w:w="8900" w:type="dxa"/>
          </w:tcPr>
          <w:p>
            <w:pPr>
              <w:pStyle w:val="TableParagraph"/>
              <w:spacing w:line="160" w:lineRule="exact" w:before="0"/>
              <w:ind w:left="98"/>
              <w:rPr>
                <w:sz w:val="14"/>
              </w:rPr>
            </w:pPr>
            <w:r>
              <w:rPr>
                <w:sz w:val="14"/>
              </w:rPr>
              <w:t>Cota-Parte do IPVA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75.867,17</w:t>
            </w:r>
          </w:p>
        </w:tc>
      </w:tr>
      <w:tr>
        <w:trPr>
          <w:trHeight w:val="320" w:hRule="atLeast"/>
        </w:trPr>
        <w:tc>
          <w:tcPr>
            <w:tcW w:w="890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Transferência Financeira (Lei Complementar nº 87/96)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890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Multas e Juros de Mora dos Impostos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7.822,42</w:t>
            </w:r>
          </w:p>
        </w:tc>
      </w:tr>
      <w:tr>
        <w:trPr>
          <w:trHeight w:val="320" w:hRule="atLeast"/>
        </w:trPr>
        <w:tc>
          <w:tcPr>
            <w:tcW w:w="8900" w:type="dxa"/>
          </w:tcPr>
          <w:p>
            <w:pPr>
              <w:pStyle w:val="TableParagraph"/>
              <w:ind w:left="98"/>
              <w:rPr>
                <w:sz w:val="14"/>
              </w:rPr>
            </w:pPr>
            <w:r>
              <w:rPr>
                <w:sz w:val="14"/>
              </w:rPr>
              <w:t>Receita da Dívida Ativa Tributária de Impostos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11100" w:type="dxa"/>
            <w:gridSpan w:val="2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BEBEBE"/>
          </w:tcPr>
          <w:p>
            <w:pPr>
              <w:pStyle w:val="TableParagraph"/>
              <w:tabs>
                <w:tab w:pos="2150" w:val="left" w:leader="none"/>
              </w:tabs>
              <w:spacing w:before="45"/>
              <w:ind w:right="3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position w:val="1"/>
                <w:sz w:val="16"/>
              </w:rPr>
              <w:t>TOTAL   </w:t>
            </w:r>
            <w:r>
              <w:rPr>
                <w:rFonts w:ascii="Arial"/>
                <w:b/>
                <w:spacing w:val="17"/>
                <w:position w:val="1"/>
                <w:sz w:val="16"/>
              </w:rPr>
              <w:t> </w:t>
            </w:r>
            <w:r>
              <w:rPr>
                <w:rFonts w:ascii="Arial"/>
                <w:b/>
                <w:sz w:val="20"/>
              </w:rPr>
              <w:t>(I)</w:t>
              <w:tab/>
            </w:r>
            <w:r>
              <w:rPr>
                <w:rFonts w:ascii="Arial"/>
                <w:b/>
                <w:position w:val="1"/>
                <w:sz w:val="16"/>
              </w:rPr>
              <w:t>10.221.133,02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16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00"/>
        <w:gridCol w:w="2200"/>
        <w:gridCol w:w="2200"/>
        <w:gridCol w:w="2200"/>
      </w:tblGrid>
      <w:tr>
        <w:trPr>
          <w:trHeight w:val="480" w:hRule="atLeast"/>
        </w:trPr>
        <w:tc>
          <w:tcPr>
            <w:tcW w:w="4500" w:type="dxa"/>
            <w:shd w:val="clear" w:color="auto" w:fill="F0F0F0"/>
          </w:tcPr>
          <w:p>
            <w:pPr>
              <w:pStyle w:val="TableParagraph"/>
              <w:spacing w:before="148"/>
              <w:ind w:left="5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DESPESAS CONSIDERADAS NA APURAÇÃO</w:t>
            </w:r>
          </w:p>
        </w:tc>
        <w:tc>
          <w:tcPr>
            <w:tcW w:w="2200" w:type="dxa"/>
            <w:shd w:val="clear" w:color="auto" w:fill="F0F0F0"/>
          </w:tcPr>
          <w:p>
            <w:pPr>
              <w:pStyle w:val="TableParagraph"/>
              <w:spacing w:before="148"/>
              <w:ind w:left="2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LIQUIDADAS E PAGAS</w:t>
            </w:r>
          </w:p>
        </w:tc>
        <w:tc>
          <w:tcPr>
            <w:tcW w:w="2200" w:type="dxa"/>
            <w:shd w:val="clear" w:color="auto" w:fill="F0F0F0"/>
          </w:tcPr>
          <w:p>
            <w:pPr>
              <w:pStyle w:val="TableParagraph"/>
              <w:spacing w:before="56"/>
              <w:ind w:left="70" w:righ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 PAGAR PROCESSADAS</w:t>
            </w:r>
          </w:p>
          <w:p>
            <w:pPr>
              <w:pStyle w:val="TableParagraph"/>
              <w:spacing w:before="0"/>
              <w:ind w:left="69" w:righ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(a)</w:t>
            </w:r>
          </w:p>
        </w:tc>
        <w:tc>
          <w:tcPr>
            <w:tcW w:w="2200" w:type="dxa"/>
            <w:shd w:val="clear" w:color="auto" w:fill="F0F0F0"/>
          </w:tcPr>
          <w:p>
            <w:pPr>
              <w:pStyle w:val="TableParagraph"/>
              <w:spacing w:before="56"/>
              <w:ind w:left="357" w:right="333" w:firstLine="17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 PAGAR NÃO</w:t>
            </w:r>
            <w:r>
              <w:rPr>
                <w:rFonts w:ascii="Arial" w:hAnsi="Arial"/>
                <w:b/>
                <w:spacing w:val="1"/>
                <w:sz w:val="16"/>
              </w:rPr>
              <w:t> </w:t>
            </w:r>
            <w:r>
              <w:rPr>
                <w:rFonts w:ascii="Arial" w:hAnsi="Arial"/>
                <w:b/>
                <w:spacing w:val="-1"/>
                <w:sz w:val="16"/>
              </w:rPr>
              <w:t>PROCESSADAS</w:t>
            </w:r>
            <w:r>
              <w:rPr>
                <w:rFonts w:ascii="Arial" w:hAnsi="Arial"/>
                <w:b/>
                <w:spacing w:val="-4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(b)</w:t>
            </w:r>
          </w:p>
        </w:tc>
      </w:tr>
      <w:tr>
        <w:trPr>
          <w:trHeight w:val="320" w:hRule="atLeast"/>
        </w:trPr>
        <w:tc>
          <w:tcPr>
            <w:tcW w:w="4500" w:type="dxa"/>
            <w:tcBorders>
              <w:left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ind w:left="65"/>
              <w:rPr>
                <w:sz w:val="14"/>
              </w:rPr>
            </w:pPr>
            <w:r>
              <w:rPr>
                <w:sz w:val="14"/>
              </w:rPr>
              <w:t>Despesas Correntes</w:t>
            </w:r>
          </w:p>
        </w:tc>
        <w:tc>
          <w:tcPr>
            <w:tcW w:w="2200" w:type="dxa"/>
            <w:tcBorders>
              <w:left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ind w:right="42"/>
              <w:jc w:val="right"/>
              <w:rPr>
                <w:sz w:val="14"/>
              </w:rPr>
            </w:pPr>
            <w:r>
              <w:rPr>
                <w:sz w:val="14"/>
              </w:rPr>
              <w:t>1.582.715,02</w:t>
            </w:r>
          </w:p>
        </w:tc>
        <w:tc>
          <w:tcPr>
            <w:tcW w:w="2200" w:type="dxa"/>
            <w:tcBorders>
              <w:left w:val="single" w:sz="4" w:space="0" w:color="CCCCCC"/>
            </w:tcBorders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547.144,54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1.009.072,91</w:t>
            </w:r>
          </w:p>
        </w:tc>
      </w:tr>
      <w:tr>
        <w:trPr>
          <w:trHeight w:val="320" w:hRule="atLeast"/>
        </w:trPr>
        <w:tc>
          <w:tcPr>
            <w:tcW w:w="4500" w:type="dxa"/>
          </w:tcPr>
          <w:p>
            <w:pPr>
              <w:pStyle w:val="TableParagraph"/>
              <w:ind w:left="100"/>
              <w:rPr>
                <w:sz w:val="14"/>
              </w:rPr>
            </w:pPr>
            <w:r>
              <w:rPr>
                <w:sz w:val="14"/>
              </w:rPr>
              <w:t>Pessoal e Encargos Sociais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468.371,55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10.736,31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556.701,08</w:t>
            </w:r>
          </w:p>
        </w:tc>
      </w:tr>
      <w:tr>
        <w:trPr>
          <w:trHeight w:val="320" w:hRule="atLeast"/>
        </w:trPr>
        <w:tc>
          <w:tcPr>
            <w:tcW w:w="4500" w:type="dxa"/>
          </w:tcPr>
          <w:p>
            <w:pPr>
              <w:pStyle w:val="TableParagraph"/>
              <w:ind w:left="100"/>
              <w:rPr>
                <w:sz w:val="14"/>
              </w:rPr>
            </w:pPr>
            <w:r>
              <w:rPr>
                <w:sz w:val="14"/>
              </w:rPr>
              <w:t>Juros Encargos da Divida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4500" w:type="dxa"/>
          </w:tcPr>
          <w:p>
            <w:pPr>
              <w:pStyle w:val="TableParagraph"/>
              <w:ind w:left="100"/>
              <w:rPr>
                <w:sz w:val="14"/>
              </w:rPr>
            </w:pPr>
            <w:r>
              <w:rPr>
                <w:sz w:val="14"/>
              </w:rPr>
              <w:t>Outras Despesas Correntes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1.114.343,47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536.408,23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452.371,83</w:t>
            </w:r>
          </w:p>
        </w:tc>
      </w:tr>
      <w:tr>
        <w:trPr>
          <w:trHeight w:val="320" w:hRule="atLeast"/>
        </w:trPr>
        <w:tc>
          <w:tcPr>
            <w:tcW w:w="4500" w:type="dxa"/>
          </w:tcPr>
          <w:p>
            <w:pPr>
              <w:pStyle w:val="TableParagraph"/>
              <w:ind w:left="60"/>
              <w:rPr>
                <w:sz w:val="14"/>
              </w:rPr>
            </w:pPr>
            <w:r>
              <w:rPr>
                <w:sz w:val="14"/>
              </w:rPr>
              <w:t>Despesas de Capital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6.969,00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47.640,00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4500" w:type="dxa"/>
          </w:tcPr>
          <w:p>
            <w:pPr>
              <w:pStyle w:val="TableParagraph"/>
              <w:ind w:left="100"/>
              <w:rPr>
                <w:sz w:val="14"/>
              </w:rPr>
            </w:pPr>
            <w:r>
              <w:rPr>
                <w:sz w:val="14"/>
              </w:rPr>
              <w:t>Investimento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6.969,00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47.640,00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4500" w:type="dxa"/>
          </w:tcPr>
          <w:p>
            <w:pPr>
              <w:pStyle w:val="TableParagraph"/>
              <w:ind w:left="100"/>
              <w:rPr>
                <w:sz w:val="14"/>
              </w:rPr>
            </w:pPr>
            <w:r>
              <w:rPr>
                <w:sz w:val="14"/>
              </w:rPr>
              <w:t>Inversoes Financeiras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4500" w:type="dxa"/>
          </w:tcPr>
          <w:p>
            <w:pPr>
              <w:pStyle w:val="TableParagraph"/>
              <w:ind w:left="100"/>
              <w:rPr>
                <w:sz w:val="14"/>
              </w:rPr>
            </w:pPr>
            <w:r>
              <w:rPr>
                <w:sz w:val="14"/>
              </w:rPr>
              <w:t>Amortizac§o da Divida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2200" w:type="dxa"/>
          </w:tcPr>
          <w:p>
            <w:pPr>
              <w:pStyle w:val="TableParagraph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  <w:tr>
        <w:trPr>
          <w:trHeight w:val="320" w:hRule="atLeast"/>
        </w:trPr>
        <w:tc>
          <w:tcPr>
            <w:tcW w:w="11100" w:type="dxa"/>
            <w:gridSpan w:val="4"/>
            <w:tcBorders>
              <w:left w:val="single" w:sz="8" w:space="0" w:color="B3B3B3"/>
              <w:bottom w:val="single" w:sz="8" w:space="0" w:color="B3B3B3"/>
              <w:right w:val="single" w:sz="8" w:space="0" w:color="B3B3B3"/>
            </w:tcBorders>
            <w:shd w:val="clear" w:color="auto" w:fill="BEBEBE"/>
          </w:tcPr>
          <w:p>
            <w:pPr>
              <w:pStyle w:val="TableParagraph"/>
              <w:tabs>
                <w:tab w:pos="5685" w:val="left" w:leader="none"/>
                <w:tab w:pos="8019" w:val="left" w:leader="none"/>
                <w:tab w:pos="10085" w:val="left" w:leader="none"/>
              </w:tabs>
              <w:spacing w:before="45"/>
              <w:ind w:left="34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position w:val="1"/>
                <w:sz w:val="16"/>
              </w:rPr>
              <w:t>TOTAL  </w:t>
            </w:r>
            <w:r>
              <w:rPr>
                <w:rFonts w:ascii="Arial"/>
                <w:b/>
                <w:spacing w:val="14"/>
                <w:position w:val="1"/>
                <w:sz w:val="16"/>
              </w:rPr>
              <w:t> </w:t>
            </w:r>
            <w:r>
              <w:rPr>
                <w:rFonts w:ascii="Arial"/>
                <w:b/>
                <w:sz w:val="20"/>
              </w:rPr>
              <w:t>(II)</w:t>
              <w:tab/>
            </w:r>
            <w:r>
              <w:rPr>
                <w:rFonts w:ascii="Arial"/>
                <w:b/>
                <w:position w:val="1"/>
                <w:sz w:val="16"/>
              </w:rPr>
              <w:t>1.589.684,02</w:t>
              <w:tab/>
              <w:t>594.784,54</w:t>
              <w:tab/>
              <w:t>1.009.072,91</w:t>
            </w:r>
          </w:p>
        </w:tc>
      </w:tr>
    </w:tbl>
    <w:p>
      <w:pPr>
        <w:pStyle w:val="BodyText"/>
        <w:spacing w:before="10"/>
        <w:rPr>
          <w:rFonts w:ascii="Times New Roman"/>
          <w:sz w:val="13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0"/>
        <w:gridCol w:w="133"/>
        <w:gridCol w:w="471"/>
        <w:gridCol w:w="631"/>
        <w:gridCol w:w="222"/>
        <w:gridCol w:w="675"/>
        <w:gridCol w:w="346"/>
        <w:gridCol w:w="1102"/>
        <w:gridCol w:w="3672"/>
        <w:gridCol w:w="1061"/>
        <w:gridCol w:w="2198"/>
      </w:tblGrid>
      <w:tr>
        <w:trPr>
          <w:trHeight w:val="580" w:hRule="atLeast"/>
        </w:trPr>
        <w:tc>
          <w:tcPr>
            <w:tcW w:w="8893" w:type="dxa"/>
            <w:gridSpan w:val="10"/>
          </w:tcPr>
          <w:p>
            <w:pPr>
              <w:pStyle w:val="TableParagraph"/>
              <w:tabs>
                <w:tab w:pos="8569" w:val="left" w:leader="none"/>
              </w:tabs>
              <w:spacing w:before="106"/>
              <w:ind w:left="60"/>
              <w:rPr>
                <w:sz w:val="16"/>
              </w:rPr>
            </w:pPr>
            <w:r>
              <w:rPr>
                <w:sz w:val="16"/>
              </w:rPr>
              <w:t>Disponibilidades de caixa ao final do exercicio, já deduzidos dos restos a pagar de exercicios anteriores</w:t>
              <w:tab/>
            </w:r>
            <w:r>
              <w:rPr>
                <w:position w:val="-8"/>
                <w:sz w:val="16"/>
              </w:rPr>
              <w:t>(III)</w:t>
            </w:r>
          </w:p>
        </w:tc>
        <w:tc>
          <w:tcPr>
            <w:tcW w:w="2198" w:type="dxa"/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0,00</w:t>
            </w:r>
          </w:p>
        </w:tc>
      </w:tr>
      <w:tr>
        <w:trPr>
          <w:trHeight w:val="580" w:hRule="atLeast"/>
        </w:trPr>
        <w:tc>
          <w:tcPr>
            <w:tcW w:w="580" w:type="dxa"/>
            <w:tcBorders>
              <w:left w:val="single" w:sz="4" w:space="0" w:color="CCCCCC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65"/>
              <w:rPr>
                <w:sz w:val="16"/>
              </w:rPr>
            </w:pPr>
            <w:r>
              <w:rPr>
                <w:sz w:val="16"/>
              </w:rPr>
              <w:t>Restos</w:t>
            </w:r>
          </w:p>
        </w:tc>
        <w:tc>
          <w:tcPr>
            <w:tcW w:w="13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32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32"/>
              <w:rPr>
                <w:sz w:val="16"/>
              </w:rPr>
            </w:pPr>
            <w:r>
              <w:rPr>
                <w:sz w:val="16"/>
              </w:rPr>
              <w:t>Pagar</w:t>
            </w:r>
          </w:p>
        </w:tc>
        <w:tc>
          <w:tcPr>
            <w:tcW w:w="63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z w:val="16"/>
              </w:rPr>
              <w:t>inscritos</w:t>
            </w:r>
          </w:p>
        </w:tc>
        <w:tc>
          <w:tcPr>
            <w:tcW w:w="22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67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33"/>
              <w:rPr>
                <w:sz w:val="16"/>
              </w:rPr>
            </w:pPr>
            <w:r>
              <w:rPr>
                <w:sz w:val="16"/>
              </w:rPr>
              <w:t>exercicio</w:t>
            </w:r>
          </w:p>
        </w:tc>
        <w:tc>
          <w:tcPr>
            <w:tcW w:w="34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34"/>
              <w:rPr>
                <w:sz w:val="16"/>
              </w:rPr>
            </w:pPr>
            <w:r>
              <w:rPr>
                <w:sz w:val="16"/>
              </w:rPr>
              <w:t>sem</w:t>
            </w:r>
          </w:p>
        </w:tc>
        <w:tc>
          <w:tcPr>
            <w:tcW w:w="110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35"/>
              <w:rPr>
                <w:sz w:val="16"/>
              </w:rPr>
            </w:pPr>
            <w:r>
              <w:rPr>
                <w:sz w:val="16"/>
              </w:rPr>
              <w:t>disponibilidade</w:t>
            </w:r>
          </w:p>
        </w:tc>
        <w:tc>
          <w:tcPr>
            <w:tcW w:w="367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tabs>
                <w:tab w:pos="3269" w:val="left" w:leader="none"/>
              </w:tabs>
              <w:spacing w:before="0"/>
              <w:ind w:left="36"/>
              <w:rPr>
                <w:sz w:val="16"/>
              </w:rPr>
            </w:pPr>
            <w:r>
              <w:rPr>
                <w:sz w:val="16"/>
              </w:rPr>
              <w:t>financeira</w:t>
              <w:tab/>
              <w:t>(IV)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=</w:t>
            </w:r>
          </w:p>
        </w:tc>
        <w:tc>
          <w:tcPr>
            <w:tcW w:w="1061" w:type="dxa"/>
            <w:tcBorders>
              <w:left w:val="nil"/>
            </w:tcBorders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left="37"/>
              <w:rPr>
                <w:sz w:val="16"/>
              </w:rPr>
            </w:pPr>
            <w:r>
              <w:rPr>
                <w:sz w:val="16"/>
              </w:rPr>
              <w:t>(IIa + IIb - III)</w:t>
            </w:r>
          </w:p>
        </w:tc>
        <w:tc>
          <w:tcPr>
            <w:tcW w:w="2198" w:type="dxa"/>
          </w:tcPr>
          <w:p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before="0"/>
              <w:ind w:right="28"/>
              <w:jc w:val="right"/>
              <w:rPr>
                <w:sz w:val="16"/>
              </w:rPr>
            </w:pPr>
            <w:r>
              <w:rPr>
                <w:sz w:val="16"/>
              </w:rPr>
              <w:t>1.603.857,45</w:t>
            </w:r>
          </w:p>
        </w:tc>
      </w:tr>
      <w:tr>
        <w:trPr>
          <w:trHeight w:val="320" w:hRule="atLeast"/>
        </w:trPr>
        <w:tc>
          <w:tcPr>
            <w:tcW w:w="7832" w:type="dxa"/>
            <w:gridSpan w:val="9"/>
            <w:tcBorders>
              <w:right w:val="nil"/>
            </w:tcBorders>
            <w:shd w:val="clear" w:color="auto" w:fill="BEBEBE"/>
          </w:tcPr>
          <w:p>
            <w:pPr>
              <w:pStyle w:val="TableParagraph"/>
              <w:spacing w:before="68"/>
              <w:ind w:left="456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DAS DESPESAS CONSIDERADAS</w:t>
            </w:r>
          </w:p>
        </w:tc>
        <w:tc>
          <w:tcPr>
            <w:tcW w:w="1061" w:type="dxa"/>
            <w:tcBorders>
              <w:left w:val="nil"/>
              <w:right w:val="nil"/>
            </w:tcBorders>
            <w:shd w:val="clear" w:color="auto" w:fill="BEBEBE"/>
          </w:tcPr>
          <w:p>
            <w:pPr>
              <w:pStyle w:val="TableParagraph"/>
              <w:spacing w:before="68"/>
              <w:ind w:left="193" w:right="-2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(V) = (II - IV)</w:t>
            </w:r>
          </w:p>
        </w:tc>
        <w:tc>
          <w:tcPr>
            <w:tcW w:w="2198" w:type="dxa"/>
            <w:tcBorders>
              <w:left w:val="nil"/>
            </w:tcBorders>
            <w:shd w:val="clear" w:color="auto" w:fill="BEBEBE"/>
          </w:tcPr>
          <w:p>
            <w:pPr>
              <w:pStyle w:val="TableParagraph"/>
              <w:spacing w:before="68"/>
              <w:ind w:right="2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1.589.684,02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1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0"/>
        <w:gridCol w:w="2200"/>
      </w:tblGrid>
      <w:tr>
        <w:trPr>
          <w:trHeight w:val="660" w:hRule="atLeast"/>
        </w:trPr>
        <w:tc>
          <w:tcPr>
            <w:tcW w:w="8900" w:type="dxa"/>
            <w:shd w:val="clear" w:color="auto" w:fill="F0F0F0"/>
          </w:tcPr>
          <w:p>
            <w:pPr>
              <w:pStyle w:val="TableParagraph"/>
              <w:spacing w:before="146"/>
              <w:ind w:left="4170" w:right="187" w:hanging="3943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PERCENTUAL DA RECEITA ARRECADADA DE IMPOSTOS, APLICADO EM AÇÕES E SERVIÇOS PÚBLICOS DE</w:t>
            </w:r>
            <w:r>
              <w:rPr>
                <w:rFonts w:ascii="Arial" w:hAnsi="Arial"/>
                <w:b/>
                <w:spacing w:val="-43"/>
                <w:sz w:val="16"/>
              </w:rPr>
              <w:t> </w:t>
            </w:r>
            <w:r>
              <w:rPr>
                <w:rFonts w:ascii="Arial" w:hAnsi="Arial"/>
                <w:b/>
                <w:sz w:val="16"/>
              </w:rPr>
              <w:t>SAÚDE</w:t>
            </w:r>
          </w:p>
        </w:tc>
        <w:tc>
          <w:tcPr>
            <w:tcW w:w="2200" w:type="dxa"/>
            <w:shd w:val="clear" w:color="auto" w:fill="F0F0F0"/>
          </w:tcPr>
          <w:p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%</w:t>
            </w:r>
          </w:p>
        </w:tc>
      </w:tr>
      <w:tr>
        <w:trPr>
          <w:trHeight w:val="320" w:hRule="atLeast"/>
        </w:trPr>
        <w:tc>
          <w:tcPr>
            <w:tcW w:w="8900" w:type="dxa"/>
            <w:tcBorders>
              <w:left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56"/>
              <w:ind w:left="4294"/>
              <w:rPr>
                <w:sz w:val="18"/>
              </w:rPr>
            </w:pPr>
            <w:r>
              <w:rPr>
                <w:sz w:val="18"/>
              </w:rPr>
              <w:t>PERCENTUAL APLICADO NO PERÍODO</w:t>
            </w:r>
            <w:r>
              <w:rPr>
                <w:spacing w:val="95"/>
                <w:sz w:val="18"/>
              </w:rPr>
              <w:t> </w:t>
            </w:r>
            <w:r>
              <w:rPr>
                <w:sz w:val="18"/>
              </w:rPr>
              <w:t>(V / I) * 100</w:t>
            </w:r>
          </w:p>
        </w:tc>
        <w:tc>
          <w:tcPr>
            <w:tcW w:w="2200" w:type="dxa"/>
            <w:tcBorders>
              <w:left w:val="single" w:sz="4" w:space="0" w:color="CCCCCC"/>
              <w:right w:val="single" w:sz="4" w:space="0" w:color="CCCCCC"/>
            </w:tcBorders>
          </w:tcPr>
          <w:p>
            <w:pPr>
              <w:pStyle w:val="TableParagraph"/>
              <w:spacing w:before="56"/>
              <w:ind w:right="42"/>
              <w:jc w:val="right"/>
              <w:rPr>
                <w:sz w:val="18"/>
              </w:rPr>
            </w:pPr>
            <w:r>
              <w:rPr>
                <w:sz w:val="18"/>
              </w:rPr>
              <w:t>15,55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18"/>
        </w:rPr>
      </w:pPr>
      <w:r>
        <w:rPr/>
        <w:pict>
          <v:shape style="position:absolute;margin-left:20pt;margin-top:13.000977pt;width:555pt;height:34pt;mso-position-horizontal-relative:page;mso-position-vertical-relative:paragraph;z-index:-15728640;mso-wrap-distance-left:0;mso-wrap-distance-right:0" type="#_x0000_t202" filled="true" fillcolor="#f0f0f0" stroked="true" strokeweight="1pt" strokecolor="#cccccc">
            <v:textbox inset="0,0,0,0">
              <w:txbxContent>
                <w:p>
                  <w:pPr>
                    <w:spacing w:before="146"/>
                    <w:ind w:left="4179" w:right="1707" w:hanging="2454"/>
                    <w:jc w:val="left"/>
                    <w:rPr>
                      <w:rFonts w:ascii="Arial" w:hAnsi="Arial"/>
                      <w:b/>
                      <w:sz w:val="16"/>
                    </w:rPr>
                  </w:pPr>
                  <w:r>
                    <w:rPr>
                      <w:rFonts w:ascii="Arial" w:hAnsi="Arial"/>
                      <w:b/>
                      <w:sz w:val="16"/>
                    </w:rPr>
                    <w:t>CONTROLE DOS RESTOS A PAGAR RELACIONADOS COM AS DESPESAS PRÓPRIAS COM AÇÕES</w:t>
                  </w:r>
                  <w:r>
                    <w:rPr>
                      <w:rFonts w:ascii="Arial" w:hAnsi="Arial"/>
                      <w:b/>
                      <w:spacing w:val="-42"/>
                      <w:sz w:val="16"/>
                    </w:rPr>
                    <w:t> </w:t>
                  </w:r>
                  <w:r>
                    <w:rPr>
                      <w:rFonts w:ascii="Arial" w:hAnsi="Arial"/>
                      <w:b/>
                      <w:sz w:val="16"/>
                    </w:rPr>
                    <w:t>E SERVIÇOS PÚBLICOS DE SAÚDE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/>
        <w:rPr>
          <w:rFonts w:ascii="Times New Roman"/>
          <w:sz w:val="18"/>
        </w:rPr>
        <w:sectPr>
          <w:headerReference w:type="default" r:id="rId5"/>
          <w:type w:val="continuous"/>
          <w:pgSz w:w="11900" w:h="16840"/>
          <w:pgMar w:header="405" w:top="2800" w:bottom="280" w:left="280" w:right="280"/>
          <w:pgNumType w:start="1"/>
        </w:sectPr>
      </w:pPr>
    </w:p>
    <w:p>
      <w:pPr>
        <w:pStyle w:val="BodyText"/>
        <w:spacing w:before="6" w:after="1"/>
        <w:rPr>
          <w:rFonts w:ascii="Times New Roman"/>
          <w:sz w:val="10"/>
        </w:rPr>
      </w:pPr>
    </w:p>
    <w:tbl>
      <w:tblPr>
        <w:tblW w:w="0" w:type="auto"/>
        <w:jc w:val="left"/>
        <w:tblInd w:w="130" w:type="dxa"/>
        <w:tblBorders>
          <w:top w:val="single" w:sz="8" w:space="0" w:color="CCCCCC"/>
          <w:left w:val="single" w:sz="8" w:space="0" w:color="CCCCCC"/>
          <w:bottom w:val="single" w:sz="8" w:space="0" w:color="CCCCCC"/>
          <w:right w:val="single" w:sz="8" w:space="0" w:color="CCCCCC"/>
          <w:insideH w:val="single" w:sz="8" w:space="0" w:color="CCCCCC"/>
          <w:insideV w:val="single" w:sz="8" w:space="0" w:color="CCCCC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74"/>
        <w:gridCol w:w="926"/>
        <w:gridCol w:w="2200"/>
      </w:tblGrid>
      <w:tr>
        <w:trPr>
          <w:trHeight w:val="540" w:hRule="atLeast"/>
        </w:trPr>
        <w:tc>
          <w:tcPr>
            <w:tcW w:w="7974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60"/>
              <w:rPr>
                <w:sz w:val="14"/>
              </w:rPr>
            </w:pPr>
            <w:r>
              <w:rPr>
                <w:sz w:val="14"/>
              </w:rPr>
              <w:t>Valor Contabil das Disponibilidades Financeiras da Conta Bancaria citada no artigo 20 desta Resolução, no final do exercício</w:t>
            </w:r>
          </w:p>
        </w:tc>
        <w:tc>
          <w:tcPr>
            <w:tcW w:w="92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43" w:right="128"/>
              <w:jc w:val="center"/>
              <w:rPr>
                <w:sz w:val="14"/>
              </w:rPr>
            </w:pPr>
            <w:r>
              <w:rPr>
                <w:sz w:val="14"/>
              </w:rPr>
              <w:t>(a)</w:t>
            </w:r>
          </w:p>
        </w:tc>
        <w:tc>
          <w:tcPr>
            <w:tcW w:w="2200" w:type="dxa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21.623,62</w:t>
            </w:r>
          </w:p>
        </w:tc>
      </w:tr>
      <w:tr>
        <w:trPr>
          <w:trHeight w:val="540" w:hRule="atLeast"/>
        </w:trPr>
        <w:tc>
          <w:tcPr>
            <w:tcW w:w="7974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60"/>
              <w:rPr>
                <w:sz w:val="14"/>
              </w:rPr>
            </w:pPr>
            <w:r>
              <w:rPr>
                <w:sz w:val="14"/>
              </w:rPr>
              <w:t>Saldo dos Restos a Pagar inscritos em anos anteriores</w:t>
            </w:r>
          </w:p>
        </w:tc>
        <w:tc>
          <w:tcPr>
            <w:tcW w:w="92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43" w:right="128"/>
              <w:jc w:val="center"/>
              <w:rPr>
                <w:sz w:val="14"/>
              </w:rPr>
            </w:pPr>
            <w:r>
              <w:rPr>
                <w:sz w:val="14"/>
              </w:rPr>
              <w:t>(b)</w:t>
            </w:r>
          </w:p>
        </w:tc>
        <w:tc>
          <w:tcPr>
            <w:tcW w:w="2200" w:type="dxa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51.028,85</w:t>
            </w:r>
          </w:p>
        </w:tc>
      </w:tr>
      <w:tr>
        <w:trPr>
          <w:trHeight w:val="540" w:hRule="atLeast"/>
        </w:trPr>
        <w:tc>
          <w:tcPr>
            <w:tcW w:w="7974" w:type="dxa"/>
            <w:tcBorders>
              <w:right w:val="nil"/>
            </w:tcBorders>
          </w:tcPr>
          <w:p>
            <w:pPr>
              <w:pStyle w:val="TableParagraph"/>
              <w:spacing w:before="109"/>
              <w:ind w:left="60" w:right="132"/>
              <w:rPr>
                <w:sz w:val="14"/>
              </w:rPr>
            </w:pPr>
            <w:r>
              <w:rPr>
                <w:sz w:val="14"/>
              </w:rPr>
              <w:t>Limite das Disponibilidades Financeiras da Conta Bancária citada no artigo 20, para fins de apuração do item II e III do artigo</w:t>
            </w:r>
            <w:r>
              <w:rPr>
                <w:spacing w:val="-37"/>
                <w:sz w:val="14"/>
              </w:rPr>
              <w:t> </w:t>
            </w:r>
            <w:r>
              <w:rPr>
                <w:sz w:val="14"/>
              </w:rPr>
              <w:t>11, desta Resolução</w:t>
            </w:r>
          </w:p>
        </w:tc>
        <w:tc>
          <w:tcPr>
            <w:tcW w:w="926" w:type="dxa"/>
            <w:tcBorders>
              <w:left w:val="nil"/>
            </w:tcBorders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144" w:right="128"/>
              <w:jc w:val="center"/>
              <w:rPr>
                <w:sz w:val="14"/>
              </w:rPr>
            </w:pPr>
            <w:r>
              <w:rPr>
                <w:sz w:val="14"/>
              </w:rPr>
              <w:t>(c = a - b)</w:t>
            </w:r>
          </w:p>
        </w:tc>
        <w:tc>
          <w:tcPr>
            <w:tcW w:w="2200" w:type="dxa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-29.405,23</w:t>
            </w:r>
          </w:p>
        </w:tc>
      </w:tr>
      <w:tr>
        <w:trPr>
          <w:trHeight w:val="540" w:hRule="atLeast"/>
        </w:trPr>
        <w:tc>
          <w:tcPr>
            <w:tcW w:w="8900" w:type="dxa"/>
            <w:gridSpan w:val="2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left="60"/>
              <w:rPr>
                <w:sz w:val="14"/>
              </w:rPr>
            </w:pPr>
            <w:r>
              <w:rPr>
                <w:sz w:val="14"/>
              </w:rPr>
              <w:t>Cancelamento de Restos a Pagar inscritos em anos anteriores</w:t>
            </w:r>
          </w:p>
        </w:tc>
        <w:tc>
          <w:tcPr>
            <w:tcW w:w="2200" w:type="dxa"/>
          </w:tcPr>
          <w:p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0"/>
              <w:ind w:right="37"/>
              <w:jc w:val="right"/>
              <w:rPr>
                <w:sz w:val="14"/>
              </w:rPr>
            </w:pPr>
            <w:r>
              <w:rPr>
                <w:sz w:val="14"/>
              </w:rPr>
              <w:t>0,00</w:t>
            </w:r>
          </w:p>
        </w:tc>
      </w:tr>
    </w:tbl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spacing w:before="94"/>
        <w:ind w:left="513"/>
      </w:pPr>
      <w:r>
        <w:rPr/>
        <w:pict>
          <v:group style="position:absolute;margin-left:300pt;margin-top:9.527464pt;width:275pt;height:24.2pt;mso-position-horizontal-relative:page;mso-position-vertical-relative:paragraph;z-index:15729664" coordorigin="6000,191" coordsize="5500,484">
            <v:line style="position:absolute" from="6000,664" to="11500,664" stroked="true" strokeweight="1pt" strokecolor="#000000">
              <v:stroke dashstyle="solid"/>
            </v:line>
            <v:shape style="position:absolute;left:6859;top:190;width:3756;height:464" type="#_x0000_t75" stroked="false">
              <v:imagedata r:id="rId6" o:title=""/>
            </v:shape>
            <w10:wrap type="none"/>
          </v:group>
        </w:pict>
      </w:r>
      <w:r>
        <w:rPr/>
        <w:t>SÃO MIGUEL DO ALEIXO(SE) 30 de Junho de 2023</w:t>
      </w:r>
    </w:p>
    <w:p>
      <w:pPr>
        <w:pStyle w:val="BodyText"/>
        <w:spacing w:before="8"/>
        <w:rPr>
          <w:sz w:val="28"/>
        </w:rPr>
      </w:pP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w:pict>
          <v:group style="width:275pt;height:1pt;mso-position-horizontal-relative:char;mso-position-vertical-relative:line" coordorigin="0,0" coordsize="5500,20">
            <v:line style="position:absolute" from="0,10" to="5500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00" w:h="16840"/>
          <w:pgMar w:header="405" w:footer="0" w:top="2800" w:bottom="280" w:left="280" w:right="280"/>
        </w:sectPr>
      </w:pPr>
    </w:p>
    <w:p>
      <w:pPr>
        <w:pStyle w:val="BodyText"/>
        <w:spacing w:before="20"/>
        <w:ind w:left="2308"/>
      </w:pPr>
      <w:r>
        <w:rPr/>
        <w:t>Local e Data</w:t>
      </w:r>
    </w:p>
    <w:p>
      <w:pPr>
        <w:pStyle w:val="BodyText"/>
        <w:spacing w:line="210" w:lineRule="exact"/>
        <w:ind w:left="2288" w:right="343"/>
        <w:jc w:val="center"/>
      </w:pPr>
      <w:r>
        <w:rPr/>
        <w:br w:type="column"/>
      </w:r>
      <w:r>
        <w:rPr/>
        <w:t>008.834.665-03 - JOSE GILTON DA COSTA MENESES</w:t>
      </w:r>
    </w:p>
    <w:p>
      <w:pPr>
        <w:pStyle w:val="BodyText"/>
        <w:spacing w:before="135"/>
        <w:ind w:left="2287" w:right="343"/>
        <w:jc w:val="center"/>
      </w:pPr>
      <w:r>
        <w:rPr/>
        <w:t>PREFEITO MUNICIPAL</w:t>
      </w:r>
    </w:p>
    <w:sectPr>
      <w:type w:val="continuous"/>
      <w:pgSz w:w="11900" w:h="16840"/>
      <w:pgMar w:top="2800" w:bottom="280" w:left="280" w:right="280"/>
      <w:cols w:num="2" w:equalWidth="0">
        <w:col w:w="3472" w:space="183"/>
        <w:col w:w="7685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361536">
          <wp:simplePos x="0" y="0"/>
          <wp:positionH relativeFrom="page">
            <wp:posOffset>546100</wp:posOffset>
          </wp:positionH>
          <wp:positionV relativeFrom="page">
            <wp:posOffset>381000</wp:posOffset>
          </wp:positionV>
          <wp:extent cx="839088" cy="63500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9088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0.630005pt;margin-top:19.227266pt;width:66.75pt;height:13.2pt;mso-position-horizontal-relative:page;mso-position-vertical-relative:page;z-index:-15954432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Página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 de</w:t>
                </w:r>
                <w:r>
                  <w:rPr>
                    <w:spacing w:val="-1"/>
                  </w:rPr>
                  <w:t> </w:t>
                </w:r>
                <w:r>
                  <w:rPr/>
                  <w:t>2</w:t>
                </w:r>
              </w:p>
            </w:txbxContent>
          </v:textbox>
          <w10:wrap type="none"/>
        </v:shape>
      </w:pict>
    </w:r>
    <w:r>
      <w:rPr/>
      <w:pict>
        <v:shape style="position:absolute;margin-left:19pt;margin-top:20.748360pt;width:76.4pt;height:8.75pt;mso-position-horizontal-relative:page;mso-position-vertical-relative:page;z-index:-159539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sz w:val="12"/>
                  </w:rPr>
                  <w:t>Ágape Sistemas - AgGestor</w:t>
                </w:r>
              </w:p>
            </w:txbxContent>
          </v:textbox>
          <w10:wrap type="none"/>
        </v:shape>
      </w:pict>
    </w:r>
    <w:r>
      <w:rPr/>
      <w:pict>
        <v:shape style="position:absolute;margin-left:134pt;margin-top:30.077265pt;width:232.05pt;height:66.7pt;mso-position-horizontal-relative:page;mso-position-vertical-relative:page;z-index:-15953408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PREFEITURA MUN. DE SAO MIGUEL DO ALEIXO</w:t>
                </w:r>
              </w:p>
              <w:p>
                <w:pPr>
                  <w:pStyle w:val="BodyText"/>
                  <w:spacing w:before="15"/>
                  <w:ind w:left="20" w:right="1188"/>
                </w:pPr>
                <w:r>
                  <w:rPr/>
                  <w:t>Avenida 26 de Novembro, S/N, Centro</w:t>
                </w:r>
                <w:r>
                  <w:rPr>
                    <w:spacing w:val="-53"/>
                  </w:rPr>
                  <w:t> </w:t>
                </w:r>
                <w:r>
                  <w:rPr/>
                  <w:t>CEP: 49.535-000</w:t>
                </w:r>
              </w:p>
              <w:p>
                <w:pPr>
                  <w:pStyle w:val="BodyText"/>
                  <w:ind w:left="20"/>
                </w:pPr>
                <w:r>
                  <w:rPr/>
                  <w:t>CNPJ: 13.114.533/0001-46</w:t>
                </w:r>
              </w:p>
              <w:p>
                <w:pPr>
                  <w:pStyle w:val="BodyText"/>
                  <w:spacing w:before="135"/>
                  <w:ind w:left="2836"/>
                </w:pPr>
                <w:r>
                  <w:rPr/>
                  <w:t>ANEXO II</w:t>
                </w:r>
              </w:p>
            </w:txbxContent>
          </v:textbox>
          <w10:wrap type="none"/>
        </v:shape>
      </w:pict>
    </w:r>
    <w:r>
      <w:rPr/>
      <w:pict>
        <v:shape style="position:absolute;margin-left:19pt;margin-top:103.03199pt;width:511.75pt;height:14.3pt;mso-position-horizontal-relative:page;mso-position-vertical-relative:page;z-index:-1595289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DEMONSTRATIVO DOS RECURSOS PRÓPRIOS APLICADOS EM AÇÕES E SERVIÇOS DE SAÚDE</w:t>
                </w:r>
              </w:p>
            </w:txbxContent>
          </v:textbox>
          <w10:wrap type="none"/>
        </v:shape>
      </w:pict>
    </w:r>
    <w:r>
      <w:rPr/>
      <w:pict>
        <v:shape style="position:absolute;margin-left:385.220001pt;margin-top:125.996719pt;width:190.85pt;height:15.45pt;mso-position-horizontal-relative:page;mso-position-vertical-relative:page;z-index:-15952384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Período: Janeiro A Junho</w:t>
                </w:r>
                <w:r>
                  <w:rPr>
                    <w:spacing w:val="66"/>
                    <w:sz w:val="24"/>
                  </w:rPr>
                  <w:t> </w:t>
                </w:r>
                <w:r>
                  <w:rPr>
                    <w:sz w:val="24"/>
                  </w:rPr>
                  <w:t>de</w:t>
                </w:r>
                <w:r>
                  <w:rPr>
                    <w:spacing w:val="67"/>
                    <w:sz w:val="24"/>
                  </w:rPr>
                  <w:t> </w:t>
                </w:r>
                <w:r>
                  <w:rPr>
                    <w:sz w:val="24"/>
                  </w:rPr>
                  <w:t>2023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2"/>
      <w:ind w:left="20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before="79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2.jpeg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2023-09-06T19:28:24Z</dcterms:created>
  <dcterms:modified xsi:type="dcterms:W3CDTF">2023-09-06T19:28:24Z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PDFium</vt:lpwstr>
  </property>
  <property fmtid="{D5CDD505-2E9C-101B-9397-08002B2CF9AE}" pid="4" name="LastSaved">
    <vt:filetime>2023-09-06T00:00:00Z</vt:filetime>
  </property>
</Properties>
</file>