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  <w:gridCol w:w="2200"/>
      </w:tblGrid>
      <w:tr>
        <w:trPr>
          <w:trHeight w:val="380" w:hRule="atLeast"/>
        </w:trPr>
        <w:tc>
          <w:tcPr>
            <w:tcW w:w="8900" w:type="dxa"/>
            <w:shd w:val="clear" w:color="auto" w:fill="F0F0F0"/>
          </w:tcPr>
          <w:p>
            <w:pPr>
              <w:pStyle w:val="TableParagraph"/>
              <w:spacing w:before="98"/>
              <w:ind w:left="2803" w:right="27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ARRECADADA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98"/>
              <w:ind w:left="70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1.905,00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30.022,62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62.861,74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406.788,58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 -Parte do FPM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8.665.759,43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IPI-Exportação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1.335,64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spacing w:line="160" w:lineRule="exact" w:before="0"/>
              <w:ind w:left="98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220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240,71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spacing w:line="160" w:lineRule="exact" w:before="0"/>
              <w:ind w:left="98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2.565.509,58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spacing w:line="160" w:lineRule="exact" w:before="0"/>
              <w:ind w:left="98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95.180,68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Transferência Financeira (Lei Complementar nº 87/96)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Multas e Juros de Mora dos Impostos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10.309,67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Receita da Dívida Ativa Tributária de Impostos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1100" w:type="dxa"/>
            <w:gridSpan w:val="2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BEBEBE"/>
          </w:tcPr>
          <w:p>
            <w:pPr>
              <w:pStyle w:val="TableParagraph"/>
              <w:tabs>
                <w:tab w:pos="2150" w:val="left" w:leader="none"/>
              </w:tabs>
              <w:spacing w:before="45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1"/>
                <w:sz w:val="16"/>
              </w:rPr>
              <w:t>TOTAL   </w:t>
            </w:r>
            <w:r>
              <w:rPr>
                <w:rFonts w:ascii="Arial"/>
                <w:b/>
                <w:spacing w:val="17"/>
                <w:position w:val="1"/>
                <w:sz w:val="16"/>
              </w:rPr>
              <w:t> </w:t>
            </w:r>
            <w:r>
              <w:rPr>
                <w:rFonts w:ascii="Arial"/>
                <w:b/>
                <w:sz w:val="20"/>
              </w:rPr>
              <w:t>(I)</w:t>
              <w:tab/>
            </w:r>
            <w:r>
              <w:rPr>
                <w:rFonts w:ascii="Arial"/>
                <w:b/>
                <w:position w:val="1"/>
                <w:sz w:val="16"/>
              </w:rPr>
              <w:t>11.839.913,65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2200"/>
        <w:gridCol w:w="2200"/>
        <w:gridCol w:w="2200"/>
      </w:tblGrid>
      <w:tr>
        <w:trPr>
          <w:trHeight w:val="480" w:hRule="atLeast"/>
        </w:trPr>
        <w:tc>
          <w:tcPr>
            <w:tcW w:w="4500" w:type="dxa"/>
            <w:shd w:val="clear" w:color="auto" w:fill="F0F0F0"/>
          </w:tcPr>
          <w:p>
            <w:pPr>
              <w:pStyle w:val="TableParagraph"/>
              <w:spacing w:before="148"/>
              <w:ind w:left="5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DESPESAS CONSIDERADAS NA APURAÇÃO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148"/>
              <w:ind w:left="2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LIQUIDADAS E PAGAS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56"/>
              <w:ind w:left="70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PAGAR PROCESSADAS</w:t>
            </w:r>
          </w:p>
          <w:p>
            <w:pPr>
              <w:pStyle w:val="TableParagraph"/>
              <w:spacing w:before="0"/>
              <w:ind w:left="69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56"/>
              <w:ind w:left="357" w:right="333" w:firstLine="1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PAGAR NÃO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PROCESSADAS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(b)</w:t>
            </w:r>
          </w:p>
        </w:tc>
      </w:tr>
      <w:tr>
        <w:trPr>
          <w:trHeight w:val="320" w:hRule="atLeast"/>
        </w:trPr>
        <w:tc>
          <w:tcPr>
            <w:tcW w:w="45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ind w:left="65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22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1.807.798,01</w:t>
            </w:r>
          </w:p>
        </w:tc>
        <w:tc>
          <w:tcPr>
            <w:tcW w:w="2200" w:type="dxa"/>
            <w:tcBorders>
              <w:left w:val="single" w:sz="4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536.719,83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966.768,48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511.677,06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62.451,17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499.850,31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Juros Encargos da Divida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1.296.120,95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474.268,66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466.918,17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6.969,00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47.640,00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Investimento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6.969,00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47.640,00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Amortizac§o da Divida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1100" w:type="dxa"/>
            <w:gridSpan w:val="4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BEBEBE"/>
          </w:tcPr>
          <w:p>
            <w:pPr>
              <w:pStyle w:val="TableParagraph"/>
              <w:tabs>
                <w:tab w:pos="5685" w:val="left" w:leader="none"/>
                <w:tab w:pos="8019" w:val="left" w:leader="none"/>
                <w:tab w:pos="10219" w:val="left" w:leader="none"/>
              </w:tabs>
              <w:spacing w:before="45"/>
              <w:ind w:left="34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1"/>
                <w:sz w:val="16"/>
              </w:rPr>
              <w:t>TOTAL  </w:t>
            </w:r>
            <w:r>
              <w:rPr>
                <w:rFonts w:ascii="Arial"/>
                <w:b/>
                <w:spacing w:val="14"/>
                <w:position w:val="1"/>
                <w:sz w:val="16"/>
              </w:rPr>
              <w:t> </w:t>
            </w:r>
            <w:r>
              <w:rPr>
                <w:rFonts w:ascii="Arial"/>
                <w:b/>
                <w:sz w:val="20"/>
              </w:rPr>
              <w:t>(II)</w:t>
              <w:tab/>
            </w:r>
            <w:r>
              <w:rPr>
                <w:rFonts w:ascii="Arial"/>
                <w:b/>
                <w:position w:val="1"/>
                <w:sz w:val="16"/>
              </w:rPr>
              <w:t>1.814.767,01</w:t>
              <w:tab/>
              <w:t>584.359,83</w:t>
              <w:tab/>
              <w:t>966.768,48</w:t>
            </w:r>
          </w:p>
        </w:tc>
      </w:tr>
    </w:tbl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33"/>
        <w:gridCol w:w="471"/>
        <w:gridCol w:w="631"/>
        <w:gridCol w:w="222"/>
        <w:gridCol w:w="675"/>
        <w:gridCol w:w="346"/>
        <w:gridCol w:w="1102"/>
        <w:gridCol w:w="3672"/>
        <w:gridCol w:w="1061"/>
        <w:gridCol w:w="2198"/>
      </w:tblGrid>
      <w:tr>
        <w:trPr>
          <w:trHeight w:val="580" w:hRule="atLeast"/>
        </w:trPr>
        <w:tc>
          <w:tcPr>
            <w:tcW w:w="8893" w:type="dxa"/>
            <w:gridSpan w:val="10"/>
          </w:tcPr>
          <w:p>
            <w:pPr>
              <w:pStyle w:val="TableParagraph"/>
              <w:tabs>
                <w:tab w:pos="8569" w:val="left" w:leader="none"/>
              </w:tabs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Disponibilidades de caixa ao final do exercicio, já deduzidos dos restos a pagar de exercicios anteriores</w:t>
              <w:tab/>
            </w:r>
            <w:r>
              <w:rPr>
                <w:position w:val="-8"/>
                <w:sz w:val="16"/>
              </w:rPr>
              <w:t>(III)</w:t>
            </w:r>
          </w:p>
        </w:tc>
        <w:tc>
          <w:tcPr>
            <w:tcW w:w="2198" w:type="dxa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80" w:hRule="atLeast"/>
        </w:trPr>
        <w:tc>
          <w:tcPr>
            <w:tcW w:w="580" w:type="dxa"/>
            <w:tcBorders>
              <w:left w:val="single" w:sz="4" w:space="0" w:color="CCCCCC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65"/>
              <w:rPr>
                <w:sz w:val="16"/>
              </w:rPr>
            </w:pPr>
            <w:r>
              <w:rPr>
                <w:sz w:val="16"/>
              </w:rPr>
              <w:t>Restos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2"/>
              <w:rPr>
                <w:sz w:val="16"/>
              </w:rPr>
            </w:pPr>
            <w:r>
              <w:rPr>
                <w:sz w:val="16"/>
              </w:rPr>
              <w:t>Pagar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inscritos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exercicio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5"/>
              <w:rPr>
                <w:sz w:val="16"/>
              </w:rPr>
            </w:pPr>
            <w:r>
              <w:rPr>
                <w:sz w:val="16"/>
              </w:rPr>
              <w:t>disponibilidade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269" w:val="left" w:leader="none"/>
              </w:tabs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financeira</w:t>
              <w:tab/>
              <w:t>(IV)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=</w:t>
            </w:r>
          </w:p>
        </w:tc>
        <w:tc>
          <w:tcPr>
            <w:tcW w:w="106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(IIa + IIb - III)</w:t>
            </w:r>
          </w:p>
        </w:tc>
        <w:tc>
          <w:tcPr>
            <w:tcW w:w="2198" w:type="dxa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1.551.128,31</w:t>
            </w:r>
          </w:p>
        </w:tc>
      </w:tr>
      <w:tr>
        <w:trPr>
          <w:trHeight w:val="320" w:hRule="atLeast"/>
        </w:trPr>
        <w:tc>
          <w:tcPr>
            <w:tcW w:w="7832" w:type="dxa"/>
            <w:gridSpan w:val="9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45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DAS DESPESAS CONSIDERADAS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193" w:right="-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(V) = (II - IV)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spacing w:before="68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1.814.767,01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  <w:gridCol w:w="2200"/>
      </w:tblGrid>
      <w:tr>
        <w:trPr>
          <w:trHeight w:val="660" w:hRule="atLeast"/>
        </w:trPr>
        <w:tc>
          <w:tcPr>
            <w:tcW w:w="8900" w:type="dxa"/>
            <w:shd w:val="clear" w:color="auto" w:fill="F0F0F0"/>
          </w:tcPr>
          <w:p>
            <w:pPr>
              <w:pStyle w:val="TableParagraph"/>
              <w:spacing w:before="146"/>
              <w:ind w:left="4170" w:right="187" w:hanging="39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PERCENTUAL DA RECEITA ARRECADADA DE IMPOSTOS, APLICADO EM AÇÕES E SERVIÇOS PÚBLICOS DE</w:t>
            </w:r>
            <w:r>
              <w:rPr>
                <w:rFonts w:ascii="Arial" w:hAnsi="Arial"/>
                <w:b/>
                <w:spacing w:val="-4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SAÚDE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89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left="4294"/>
              <w:rPr>
                <w:sz w:val="18"/>
              </w:rPr>
            </w:pPr>
            <w:r>
              <w:rPr>
                <w:sz w:val="18"/>
              </w:rPr>
              <w:t>PERCENTUAL APLICADO NO PERÍODO</w:t>
            </w:r>
            <w:r>
              <w:rPr>
                <w:spacing w:val="95"/>
                <w:sz w:val="18"/>
              </w:rPr>
              <w:t> </w:t>
            </w:r>
            <w:r>
              <w:rPr>
                <w:sz w:val="18"/>
              </w:rPr>
              <w:t>(V / I) * 100</w:t>
            </w:r>
          </w:p>
        </w:tc>
        <w:tc>
          <w:tcPr>
            <w:tcW w:w="22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shape style="position:absolute;margin-left:20pt;margin-top:13.000977pt;width:555pt;height:34pt;mso-position-horizontal-relative:page;mso-position-vertical-relative:paragraph;z-index:-15728640;mso-wrap-distance-left:0;mso-wrap-distance-right:0" type="#_x0000_t202" filled="true" fillcolor="#f0f0f0" stroked="true" strokeweight="1pt" strokecolor="#cccccc">
            <v:textbox inset="0,0,0,0">
              <w:txbxContent>
                <w:p>
                  <w:pPr>
                    <w:spacing w:before="146"/>
                    <w:ind w:left="4179" w:right="1707" w:hanging="2454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CONTROLE DOS RESTOS A PAGAR RELACIONADOS COM AS DESPESAS PRÓPRIAS COM AÇÕES</w:t>
                  </w:r>
                  <w:r>
                    <w:rPr>
                      <w:rFonts w:ascii="Arial" w:hAnsi="Arial"/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E SERVIÇOS PÚBLICOS DE SAÚDE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00" w:h="16840"/>
          <w:pgMar w:header="405" w:top="2800" w:bottom="280" w:left="280" w:right="280"/>
          <w:pgNumType w:start="1"/>
        </w:sectPr>
      </w:pPr>
    </w:p>
    <w:p>
      <w:pPr>
        <w:pStyle w:val="BodyText"/>
        <w:spacing w:before="6" w:after="1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4"/>
        <w:gridCol w:w="926"/>
        <w:gridCol w:w="2200"/>
      </w:tblGrid>
      <w:tr>
        <w:trPr>
          <w:trHeight w:val="540" w:hRule="atLeast"/>
        </w:trPr>
        <w:tc>
          <w:tcPr>
            <w:tcW w:w="797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sz w:val="14"/>
              </w:rPr>
            </w:pPr>
            <w:r>
              <w:rPr>
                <w:sz w:val="14"/>
              </w:rPr>
              <w:t>Valor Contabil das Disponibilidades Financeiras da Conta Bancaria citada no artigo 20 desta Resolução, no final do exercício</w:t>
            </w:r>
          </w:p>
        </w:tc>
        <w:tc>
          <w:tcPr>
            <w:tcW w:w="9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 w:right="12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13.329,16</w:t>
            </w:r>
          </w:p>
        </w:tc>
      </w:tr>
      <w:tr>
        <w:trPr>
          <w:trHeight w:val="540" w:hRule="atLeast"/>
        </w:trPr>
        <w:tc>
          <w:tcPr>
            <w:tcW w:w="797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sz w:val="14"/>
              </w:rPr>
            </w:pPr>
            <w:r>
              <w:rPr>
                <w:sz w:val="14"/>
              </w:rPr>
              <w:t>Saldo dos Restos a Pagar inscritos em anos anteriores</w:t>
            </w:r>
          </w:p>
        </w:tc>
        <w:tc>
          <w:tcPr>
            <w:tcW w:w="9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 w:right="128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51.028,85</w:t>
            </w:r>
          </w:p>
        </w:tc>
      </w:tr>
      <w:tr>
        <w:trPr>
          <w:trHeight w:val="540" w:hRule="atLeast"/>
        </w:trPr>
        <w:tc>
          <w:tcPr>
            <w:tcW w:w="7974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60" w:right="132"/>
              <w:rPr>
                <w:sz w:val="14"/>
              </w:rPr>
            </w:pPr>
            <w:r>
              <w:rPr>
                <w:sz w:val="14"/>
              </w:rPr>
              <w:t>Limite das Disponibilidades Financeiras da Conta Bancária citada no artigo 20, para fins de apuração do item II e III do artigo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11, desta Resolução</w:t>
            </w:r>
          </w:p>
        </w:tc>
        <w:tc>
          <w:tcPr>
            <w:tcW w:w="9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4" w:right="128"/>
              <w:jc w:val="center"/>
              <w:rPr>
                <w:sz w:val="14"/>
              </w:rPr>
            </w:pPr>
            <w:r>
              <w:rPr>
                <w:sz w:val="14"/>
              </w:rPr>
              <w:t>(c = a - b)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-37.699,69</w:t>
            </w:r>
          </w:p>
        </w:tc>
      </w:tr>
      <w:tr>
        <w:trPr>
          <w:trHeight w:val="540" w:hRule="atLeast"/>
        </w:trPr>
        <w:tc>
          <w:tcPr>
            <w:tcW w:w="8900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sz w:val="14"/>
              </w:rPr>
            </w:pPr>
            <w:r>
              <w:rPr>
                <w:sz w:val="14"/>
              </w:rPr>
              <w:t>Cancelamento de Restos a Pagar inscritos em anos anteriores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4"/>
        <w:ind w:left="546"/>
      </w:pPr>
      <w:r>
        <w:rPr/>
        <w:pict>
          <v:group style="position:absolute;margin-left:300pt;margin-top:9.527464pt;width:275pt;height:24.2pt;mso-position-horizontal-relative:page;mso-position-vertical-relative:paragraph;z-index:15729664" coordorigin="6000,191" coordsize="5500,484">
            <v:line style="position:absolute" from="6000,664" to="11500,664" stroked="true" strokeweight="1pt" strokecolor="#000000">
              <v:stroke dashstyle="solid"/>
            </v:line>
            <v:shape style="position:absolute;left:6859;top:190;width:3756;height:464" type="#_x0000_t75" stroked="false">
              <v:imagedata r:id="rId6" o:title=""/>
            </v:shape>
            <w10:wrap type="none"/>
          </v:group>
        </w:pict>
      </w:r>
      <w:r>
        <w:rPr/>
        <w:t>SÃO MIGUEL DO ALEIXO(SE) 31 de Julho de 2023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275pt;height:1pt;mso-position-horizontal-relative:char;mso-position-vertical-relative:line" coordorigin="0,0" coordsize="5500,20">
            <v:line style="position:absolute" from="0,10" to="55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405" w:footer="0" w:top="2800" w:bottom="280" w:left="280" w:right="280"/>
        </w:sectPr>
      </w:pPr>
    </w:p>
    <w:p>
      <w:pPr>
        <w:pStyle w:val="BodyText"/>
        <w:spacing w:before="20"/>
        <w:ind w:left="2308"/>
      </w:pPr>
      <w:r>
        <w:rPr/>
        <w:t>Local e Data</w:t>
      </w:r>
    </w:p>
    <w:p>
      <w:pPr>
        <w:pStyle w:val="BodyText"/>
        <w:spacing w:line="210" w:lineRule="exact"/>
        <w:ind w:left="2288" w:right="343"/>
        <w:jc w:val="center"/>
      </w:pPr>
      <w:r>
        <w:rPr/>
        <w:br w:type="column"/>
      </w:r>
      <w:r>
        <w:rPr/>
        <w:t>008.834.665-03 - JOSE GILTON DA COSTA MENESES</w:t>
      </w:r>
    </w:p>
    <w:p>
      <w:pPr>
        <w:pStyle w:val="BodyText"/>
        <w:spacing w:before="135"/>
        <w:ind w:left="2287" w:right="343"/>
        <w:jc w:val="center"/>
      </w:pPr>
      <w:r>
        <w:rPr/>
        <w:t>PREFEITO MUNICIPAL</w:t>
      </w:r>
    </w:p>
    <w:sectPr>
      <w:type w:val="continuous"/>
      <w:pgSz w:w="11900" w:h="16840"/>
      <w:pgMar w:top="2800" w:bottom="280" w:left="280" w:right="280"/>
      <w:cols w:num="2" w:equalWidth="0">
        <w:col w:w="3472" w:space="183"/>
        <w:col w:w="7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153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6.75pt;height:13.2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</w:t>
                </w:r>
                <w:r>
                  <w:rPr>
                    <w:spacing w:val="-1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66.7pt;mso-position-horizontal-relative:page;mso-position-vertical-relative:page;z-index:-159534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PREFEITURA MUN. DE SAO MIGUEL DO ALEIXO</w:t>
                </w:r>
              </w:p>
              <w:p>
                <w:pPr>
                  <w:pStyle w:val="BodyText"/>
                  <w:spacing w:before="15"/>
                  <w:ind w:left="20" w:right="1188"/>
                </w:pPr>
                <w:r>
                  <w:rPr/>
                  <w:t>Avenida 26 de Novembro, S/N, Centro</w:t>
                </w:r>
                <w:r>
                  <w:rPr>
                    <w:spacing w:val="-53"/>
                  </w:rPr>
                  <w:t> </w:t>
                </w:r>
                <w:r>
                  <w:rPr/>
                  <w:t>CEP: 49.535-000</w:t>
                </w:r>
              </w:p>
              <w:p>
                <w:pPr>
                  <w:pStyle w:val="BodyText"/>
                  <w:ind w:left="20"/>
                </w:pPr>
                <w:r>
                  <w:rPr/>
                  <w:t>CNPJ: 13.114.533/0001-46</w:t>
                </w:r>
              </w:p>
              <w:p>
                <w:pPr>
                  <w:pStyle w:val="BodyText"/>
                  <w:spacing w:before="135"/>
                  <w:ind w:left="2836"/>
                </w:pPr>
                <w:r>
                  <w:rPr/>
                  <w:t>ANEXO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103.03199pt;width:511.75pt;height:14.3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DEMONSTRATIVO DOS RECURSOS PRÓPRIOS APLICADOS EM AÇÕES E SERVIÇOS DE 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220001pt;margin-top:125.996719pt;width:186.8pt;height:15.45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Período: Janeiro A Julho</w:t>
                </w:r>
                <w:r>
                  <w:rPr>
                    <w:spacing w:val="66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67"/>
                    <w:sz w:val="24"/>
                  </w:rPr>
                  <w:t> </w:t>
                </w:r>
                <w:r>
                  <w:rPr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2023-09-06T19:28:08Z</dcterms:created>
  <dcterms:modified xsi:type="dcterms:W3CDTF">2023-09-06T19:28:08Z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